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21"/>
          <w:rFonts w:eastAsia="Tahoma"/>
          <w:sz w:val="28"/>
          <w:szCs w:val="28"/>
        </w:rPr>
        <w:t>Перечень индикаторов риска</w:t>
      </w:r>
      <w:r>
        <w:rPr>
          <w:b/>
          <w:bCs/>
          <w:sz w:val="28"/>
          <w:szCs w:val="28"/>
        </w:rPr>
        <w:br/>
      </w:r>
      <w:r>
        <w:rPr>
          <w:rStyle w:val="Fontstyle21"/>
          <w:rFonts w:eastAsia="Tahoma"/>
          <w:sz w:val="28"/>
          <w:szCs w:val="28"/>
        </w:rPr>
        <w:t xml:space="preserve">нарушения обязательных требований 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21"/>
          <w:rFonts w:eastAsia="Tahoma"/>
          <w:sz w:val="28"/>
          <w:szCs w:val="28"/>
        </w:rPr>
        <w:t>при осуществлении муниципального земельного контроля, используемые для проведения внеплановых контрольных(надзорных) мероприятий при</w:t>
      </w:r>
      <w:r>
        <w:rPr>
          <w:bCs/>
          <w:sz w:val="28"/>
          <w:szCs w:val="28"/>
        </w:rPr>
        <w:t xml:space="preserve"> осуществлении</w:t>
      </w:r>
      <w:r>
        <w:rPr>
          <w:rStyle w:val="Fontstyle21"/>
          <w:rFonts w:eastAsia="Tahoma"/>
          <w:sz w:val="28"/>
          <w:szCs w:val="28"/>
        </w:rPr>
        <w:t xml:space="preserve"> муниципального земельного</w:t>
      </w:r>
      <w:r>
        <w:rPr>
          <w:bCs/>
          <w:sz w:val="28"/>
          <w:szCs w:val="28"/>
        </w:rPr>
        <w:t xml:space="preserve"> </w:t>
      </w:r>
      <w:r>
        <w:rPr>
          <w:rStyle w:val="Fontstyle21"/>
          <w:rFonts w:eastAsia="Tahoma"/>
          <w:sz w:val="28"/>
          <w:szCs w:val="28"/>
        </w:rPr>
        <w:t>контроля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почвы.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Признаки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агролесомелиоративным насаждениям, агрофитомелиоративным насаждениям). 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 (ЕГРН),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</w:t>
      </w:r>
      <w:r>
        <w:rPr>
          <w:rStyle w:val="Hyperlink"/>
          <w:color w:val="000000"/>
          <w:sz w:val="28"/>
          <w:szCs w:val="28"/>
          <w:u w:val="none"/>
        </w:rPr>
        <w:t xml:space="preserve">  </w:t>
      </w:r>
      <w:r>
        <w:fldChar w:fldCharType="begin"/>
      </w:r>
      <w:r>
        <w:rPr>
          <w:rStyle w:val="Hyperlink"/>
          <w:sz w:val="28"/>
          <w:u w:val="none"/>
          <w:shd w:fill="FFFFFF" w:val="clear"/>
          <w:szCs w:val="28"/>
          <w:color w:val="000000"/>
        </w:rPr>
        <w:instrText xml:space="preserve"> HYPERLINK "https://docs.cntd.ru/document/566321344" \l "64U0IK"</w:instrText>
      </w:r>
      <w:r>
        <w:rPr>
          <w:rStyle w:val="Hyperlink"/>
          <w:sz w:val="28"/>
          <w:u w:val="none"/>
          <w:shd w:fill="FFFFFF" w:val="clear"/>
          <w:szCs w:val="28"/>
          <w:color w:val="000000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shd w:fill="FFFFFF" w:val="clear"/>
        </w:rPr>
        <w:t xml:space="preserve">приказом Федеральной службы государственной регистрации, кадастра и картографии от 23 октября 2020 г. N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машино-места.    </w:t>
      </w:r>
      <w:r>
        <w:rPr>
          <w:rStyle w:val="Hyperlink"/>
          <w:sz w:val="28"/>
          <w:u w:val="none"/>
          <w:shd w:fill="FFFFFF" w:val="clear"/>
          <w:szCs w:val="28"/>
          <w:color w:val="000000"/>
        </w:rPr>
        <w:fldChar w:fldCharType="end"/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FFFFFF"/>
          <w:sz w:val="28"/>
          <w:szCs w:val="28"/>
        </w:rPr>
        <w:t>___</w:t>
      </w:r>
      <w:r>
        <w:rPr>
          <w:color w:val="000000"/>
          <w:sz w:val="28"/>
          <w:szCs w:val="28"/>
        </w:rPr>
        <w:t>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0"/>
        <w:ind w:firstLine="567"/>
        <w:jc w:val="right"/>
        <w:rPr>
          <w:rStyle w:val="Fontstyle01"/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</w:r>
    </w:p>
    <w:sectPr>
      <w:type w:val="nextPage"/>
      <w:pgSz w:w="11906" w:h="16838"/>
      <w:pgMar w:left="1701" w:right="851" w:gutter="0" w:header="0" w:top="42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11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uiPriority w:val="99"/>
    <w:qFormat/>
    <w:rsid w:val="001a1133"/>
    <w:rPr>
      <w:rFonts w:eastAsia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26189c"/>
    <w:rPr>
      <w:rFonts w:cs="Times New Roman"/>
      <w:color w:val="0000FF"/>
      <w:u w:val="single"/>
    </w:rPr>
  </w:style>
  <w:style w:type="character" w:styleId="Fontstyle01">
    <w:name w:val="fontstyle01"/>
    <w:qFormat/>
    <w:rPr>
      <w:rFonts w:ascii="Times New Roman" w:hAnsi="Times New Roman" w:eastAsia="Times New Roman" w:cs="Times New Roman"/>
      <w:b w:val="false"/>
      <w:bCs w:val="false"/>
      <w:i w:val="false"/>
      <w:iCs w:val="false"/>
      <w:color w:val="000000"/>
      <w:sz w:val="26"/>
      <w:szCs w:val="26"/>
    </w:rPr>
  </w:style>
  <w:style w:type="character" w:styleId="Fontstyle21">
    <w:name w:val="fontstyle21"/>
    <w:qFormat/>
    <w:rPr>
      <w:rFonts w:ascii="Times New Roman" w:hAnsi="Times New Roman" w:eastAsia="Times New Roman" w:cs="Times New Roman"/>
      <w:b/>
      <w:bCs/>
      <w:i w:val="false"/>
      <w:iCs w:val="false"/>
      <w:color w:val="000000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14"/>
    <w:uiPriority w:val="99"/>
    <w:qFormat/>
    <w:rsid w:val="001a1133"/>
    <w:pPr>
      <w:jc w:val="center"/>
    </w:pPr>
    <w:rPr>
      <w:b/>
      <w:bCs/>
      <w:sz w:val="24"/>
      <w:szCs w:val="24"/>
    </w:rPr>
  </w:style>
  <w:style w:type="paragraph" w:styleId="ConsPlusTitle" w:customStyle="1">
    <w:name w:val="ConsPlusTitle"/>
    <w:uiPriority w:val="99"/>
    <w:qFormat/>
    <w:rsid w:val="00392a4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2" w:customStyle="1">
    <w:name w:val="Знак Знак2"/>
    <w:basedOn w:val="Normal"/>
    <w:uiPriority w:val="99"/>
    <w:qFormat/>
    <w:rsid w:val="00681b92"/>
    <w:pPr>
      <w:tabs>
        <w:tab w:val="clear" w:pos="708"/>
        <w:tab w:val="left" w:pos="720" w:leader="none"/>
      </w:tabs>
      <w:spacing w:lineRule="exact" w:line="240" w:before="0" w:after="160"/>
      <w:ind w:hanging="720" w:left="720"/>
      <w:jc w:val="both"/>
    </w:pPr>
    <w:rPr>
      <w:rFonts w:ascii="Verdana" w:hAnsi="Verdana" w:cs="Verdana"/>
      <w:lang w:val="en-US" w:eastAsia="en-US"/>
    </w:rPr>
  </w:style>
  <w:style w:type="paragraph" w:styleId="21" w:customStyle="1">
    <w:name w:val="Знак Знак21"/>
    <w:basedOn w:val="Normal"/>
    <w:uiPriority w:val="99"/>
    <w:qFormat/>
    <w:rsid w:val="00eb3e34"/>
    <w:pPr>
      <w:tabs>
        <w:tab w:val="clear" w:pos="708"/>
        <w:tab w:val="left" w:pos="720" w:leader="none"/>
      </w:tabs>
      <w:spacing w:lineRule="exact" w:line="240" w:before="0" w:after="160"/>
      <w:ind w:hanging="720" w:left="720"/>
      <w:jc w:val="both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uiPriority w:val="99"/>
    <w:qFormat/>
    <w:rsid w:val="007a1191"/>
    <w:pPr>
      <w:ind w:left="72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6D1EB-F927-4936-B0E2-C52ED09C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LibreOffice/7.6.7.2$Linux_X86_64 LibreOffice_project/60$Build-2</Application>
  <AppVersion>15.0000</AppVersion>
  <Pages>2</Pages>
  <Words>361</Words>
  <Characters>2923</Characters>
  <CharactersWithSpaces>3281</CharactersWithSpaces>
  <Paragraphs>10</Paragraphs>
  <Company>Administration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2021-08-20T05:31:00Z</dcterms:created>
  <dc:creator>Трищ</dc:creator>
  <dc:description/>
  <dc:language>ru-RU</dc:language>
  <cp:lastModifiedBy/>
  <cp:lastPrinted>2021-10-15T02:55:00Z</cp:lastPrinted>
  <dcterms:modified xsi:type="dcterms:W3CDTF">2025-08-29T10:25:07Z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