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1C741E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1C741E" w:rsidRPr="008D771D" w:rsidRDefault="00E4262C" w:rsidP="001C741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первого заместителя</w:t>
      </w:r>
      <w:r w:rsidR="001C741E" w:rsidRPr="008D771D">
        <w:rPr>
          <w:rFonts w:ascii="Times New Roman" w:hAnsi="Times New Roman" w:cs="Times New Roman"/>
          <w:sz w:val="28"/>
          <w:szCs w:val="28"/>
        </w:rPr>
        <w:t xml:space="preserve">  Главы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C741E" w:rsidRPr="008D771D" w:rsidRDefault="00E4262C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1C741E" w:rsidRPr="008D7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1E" w:rsidRPr="008D771D" w:rsidRDefault="001C741E" w:rsidP="001C7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7A2506">
        <w:rPr>
          <w:rFonts w:ascii="Times New Roman" w:hAnsi="Times New Roman" w:cs="Times New Roman"/>
          <w:sz w:val="28"/>
          <w:szCs w:val="28"/>
        </w:rPr>
        <w:t xml:space="preserve">_________________А.В. </w:t>
      </w:r>
      <w:proofErr w:type="spellStart"/>
      <w:r w:rsidR="007A2506">
        <w:rPr>
          <w:rFonts w:ascii="Times New Roman" w:hAnsi="Times New Roman" w:cs="Times New Roman"/>
          <w:sz w:val="28"/>
          <w:szCs w:val="28"/>
        </w:rPr>
        <w:t>Настенко</w:t>
      </w:r>
      <w:proofErr w:type="spellEnd"/>
    </w:p>
    <w:p w:rsidR="004B63BC" w:rsidRPr="00994372" w:rsidRDefault="007A2506" w:rsidP="009943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25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2025</w:t>
      </w:r>
      <w:r w:rsidR="00127D4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7719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9533B" w:rsidRPr="008D771D" w:rsidRDefault="00CD7A22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План мероприятий по снижению рисков нарушения антимонопольного законодательства (</w:t>
      </w:r>
      <w:proofErr w:type="spellStart"/>
      <w:r w:rsidRPr="008D771D">
        <w:rPr>
          <w:sz w:val="28"/>
          <w:szCs w:val="28"/>
        </w:rPr>
        <w:t>комплаенс-рисков</w:t>
      </w:r>
      <w:proofErr w:type="spellEnd"/>
      <w:r w:rsidRPr="008D771D">
        <w:rPr>
          <w:sz w:val="28"/>
          <w:szCs w:val="28"/>
        </w:rPr>
        <w:t xml:space="preserve">) </w:t>
      </w:r>
      <w:r w:rsidR="0019533B" w:rsidRPr="008D771D">
        <w:rPr>
          <w:sz w:val="28"/>
          <w:szCs w:val="28"/>
        </w:rPr>
        <w:t xml:space="preserve">в администрации  </w:t>
      </w:r>
      <w:proofErr w:type="spellStart"/>
      <w:r w:rsidR="0019533B" w:rsidRPr="008D771D">
        <w:rPr>
          <w:sz w:val="28"/>
          <w:szCs w:val="28"/>
        </w:rPr>
        <w:t>Ташт</w:t>
      </w:r>
      <w:r w:rsidR="006A4253">
        <w:rPr>
          <w:sz w:val="28"/>
          <w:szCs w:val="28"/>
        </w:rPr>
        <w:t>агольского</w:t>
      </w:r>
      <w:proofErr w:type="spellEnd"/>
      <w:r w:rsidR="006A4253">
        <w:rPr>
          <w:sz w:val="28"/>
          <w:szCs w:val="28"/>
        </w:rPr>
        <w:t xml:space="preserve"> муниципального округа</w:t>
      </w:r>
    </w:p>
    <w:p w:rsidR="004B63BC" w:rsidRPr="008D771D" w:rsidRDefault="004B63BC" w:rsidP="007719F9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3449"/>
        <w:gridCol w:w="4043"/>
        <w:gridCol w:w="2253"/>
        <w:gridCol w:w="2266"/>
        <w:gridCol w:w="2051"/>
      </w:tblGrid>
      <w:tr w:rsidR="007176FF" w:rsidRPr="008D771D" w:rsidTr="00B17FE6">
        <w:tc>
          <w:tcPr>
            <w:tcW w:w="724" w:type="dxa"/>
          </w:tcPr>
          <w:p w:rsidR="00BA3909" w:rsidRPr="008D771D" w:rsidRDefault="00BA39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Вид риска </w:t>
            </w:r>
          </w:p>
        </w:tc>
        <w:tc>
          <w:tcPr>
            <w:tcW w:w="404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Мерпориятия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пнаправленные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на минимизацию и недопущение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комплаен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с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-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рисков</w:t>
            </w:r>
          </w:p>
        </w:tc>
        <w:tc>
          <w:tcPr>
            <w:tcW w:w="225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2266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1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274DC7" w:rsidRPr="008D771D" w:rsidTr="00B17FE6">
        <w:tc>
          <w:tcPr>
            <w:tcW w:w="724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</w:t>
            </w:r>
            <w:r w:rsidR="00D5051B">
              <w:rPr>
                <w:sz w:val="28"/>
                <w:szCs w:val="28"/>
              </w:rPr>
              <w:t>округа</w:t>
            </w:r>
          </w:p>
        </w:tc>
        <w:tc>
          <w:tcPr>
            <w:tcW w:w="4043" w:type="dxa"/>
          </w:tcPr>
          <w:p w:rsidR="007176FF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1.Повышение квалификации сотрудников контрактной службы и членов приемочной комиссии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2.Мониторинг изменений законодательства в сфере закупок товаров, работ, услуг для обеспечения муниципальных нужд и приведения нормативных правовых актов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</w:t>
            </w:r>
            <w:r w:rsidR="00D5051B">
              <w:rPr>
                <w:rFonts w:ascii="Times New Roman" w:hAnsi="Times New Roman" w:cs="Times New Roman"/>
                <w:sz w:val="28"/>
                <w:szCs w:val="28"/>
              </w:rPr>
              <w:t>агольского</w:t>
            </w:r>
            <w:proofErr w:type="spellEnd"/>
            <w:r w:rsidR="00D505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</w:t>
            </w:r>
            <w:r w:rsidR="00AF2F89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AF2F8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3.Анализ правовых позиций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ФАС России и судебной практики в сфере закупок товаров, работ, услуг для обеспечения муниципальных нужд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4. Проведение мероприятий по предотвращению конфликта интересов и профилактических  мероприятий в рамках противодействия коррупции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5. Осуществление контроля в процессе подготовки закупочной документации на стадии согласования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DC7" w:rsidRPr="008D771D" w:rsidRDefault="00B543F4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6. Проведение разъяснительной  (профилактической) работы со служащими и информирование служащих о формах и видах нарушений антимонопольного законодательства, допускаемых при осуществлении закупок товаров (работ, услуг).</w:t>
            </w:r>
          </w:p>
        </w:tc>
        <w:tc>
          <w:tcPr>
            <w:tcW w:w="2253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 на обучение в пределах выделенных лимитов бюджетных обязательств на год</w:t>
            </w:r>
          </w:p>
        </w:tc>
        <w:tc>
          <w:tcPr>
            <w:tcW w:w="2266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контрактной службы 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D5051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051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2F89" w:rsidRPr="008D771D" w:rsidTr="00B17FE6">
        <w:tc>
          <w:tcPr>
            <w:tcW w:w="724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9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</w:t>
            </w:r>
            <w:r w:rsidR="00207A78">
              <w:rPr>
                <w:sz w:val="28"/>
                <w:szCs w:val="28"/>
              </w:rPr>
              <w:t>округа</w:t>
            </w:r>
          </w:p>
        </w:tc>
        <w:tc>
          <w:tcPr>
            <w:tcW w:w="4043" w:type="dxa"/>
          </w:tcPr>
          <w:p w:rsidR="00AF2F89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</w:t>
            </w:r>
            <w:r w:rsidR="00527C2D" w:rsidRPr="008D771D">
              <w:rPr>
                <w:rStyle w:val="2"/>
                <w:rFonts w:eastAsiaTheme="minorEastAsia"/>
                <w:sz w:val="28"/>
                <w:szCs w:val="28"/>
              </w:rPr>
              <w:t>Надлежащая п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равовая и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антикоррупционная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экспертиза  и их проектов, согласование с Прокуратурой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г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. Таштагола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 Проведение анализа ранее принятых решений, допущенных нарушений;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4. Выработка механизмов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единой практики принятия решений;</w:t>
            </w:r>
          </w:p>
          <w:p w:rsidR="00AC4B0B" w:rsidRPr="008D771D" w:rsidRDefault="00AC4B0B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 Мониторинг изменений антимонопольного законодательства.</w:t>
            </w:r>
          </w:p>
        </w:tc>
        <w:tc>
          <w:tcPr>
            <w:tcW w:w="2253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051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3510B" w:rsidRPr="008D771D" w:rsidTr="00B17FE6">
        <w:tc>
          <w:tcPr>
            <w:tcW w:w="724" w:type="dxa"/>
          </w:tcPr>
          <w:p w:rsidR="0073510B" w:rsidRPr="008D771D" w:rsidRDefault="0073510B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9" w:type="dxa"/>
          </w:tcPr>
          <w:p w:rsidR="0073510B" w:rsidRPr="008D771D" w:rsidRDefault="00000003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4043" w:type="dxa"/>
          </w:tcPr>
          <w:p w:rsidR="0073510B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деятельностью учреждений</w:t>
            </w:r>
            <w:r w:rsidR="00CA2E7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в сфере закупок товаров, работ, услуг для обеспечения муниципальных нуж</w:t>
            </w:r>
            <w:r w:rsidR="005E313C">
              <w:rPr>
                <w:rStyle w:val="2"/>
                <w:rFonts w:eastAsiaTheme="minorEastAsia"/>
                <w:sz w:val="28"/>
                <w:szCs w:val="28"/>
              </w:rPr>
              <w:t>д, финансового контроля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  <w:p w:rsidR="00E66E91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73510B" w:rsidRPr="008D771D" w:rsidRDefault="009A69F8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в сфере закупок, начальник </w:t>
            </w:r>
            <w:r w:rsidR="00442DE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контроля</w:t>
            </w:r>
          </w:p>
        </w:tc>
        <w:tc>
          <w:tcPr>
            <w:tcW w:w="2051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17FE6" w:rsidRPr="008D771D" w:rsidTr="00B17FE6">
        <w:tc>
          <w:tcPr>
            <w:tcW w:w="724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404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соблюдением законодательства при  распоряжении муниципальным имуществом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служащих.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FE6" w:rsidRPr="008D771D" w:rsidRDefault="00B17FE6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</w:tc>
        <w:tc>
          <w:tcPr>
            <w:tcW w:w="2051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DF2486" w:rsidRDefault="00DF2486" w:rsidP="00994372">
      <w:pPr>
        <w:pStyle w:val="3"/>
        <w:shd w:val="clear" w:color="auto" w:fill="auto"/>
        <w:spacing w:before="0" w:after="0" w:line="322" w:lineRule="exact"/>
        <w:ind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sectPr w:rsidR="00DF2486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07A78"/>
    <w:rsid w:val="002235E3"/>
    <w:rsid w:val="0022458D"/>
    <w:rsid w:val="00244803"/>
    <w:rsid w:val="00257BB8"/>
    <w:rsid w:val="00274DC7"/>
    <w:rsid w:val="002776E5"/>
    <w:rsid w:val="0028610D"/>
    <w:rsid w:val="00287DD4"/>
    <w:rsid w:val="002E717B"/>
    <w:rsid w:val="00321DBC"/>
    <w:rsid w:val="00321FB3"/>
    <w:rsid w:val="00325C4F"/>
    <w:rsid w:val="00330FC3"/>
    <w:rsid w:val="003347C5"/>
    <w:rsid w:val="00343210"/>
    <w:rsid w:val="0037161B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A4253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7BE7"/>
    <w:rsid w:val="0076393E"/>
    <w:rsid w:val="007719F9"/>
    <w:rsid w:val="00773D1E"/>
    <w:rsid w:val="00775464"/>
    <w:rsid w:val="007A2506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33311"/>
    <w:rsid w:val="00847832"/>
    <w:rsid w:val="00850A6A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50D9D"/>
    <w:rsid w:val="00960752"/>
    <w:rsid w:val="00967B3F"/>
    <w:rsid w:val="0097623B"/>
    <w:rsid w:val="00994372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20B5A"/>
    <w:rsid w:val="00A2747B"/>
    <w:rsid w:val="00A27E60"/>
    <w:rsid w:val="00A31250"/>
    <w:rsid w:val="00A32DCB"/>
    <w:rsid w:val="00A4074F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45B51"/>
    <w:rsid w:val="00D5051B"/>
    <w:rsid w:val="00D91CF4"/>
    <w:rsid w:val="00DB1F97"/>
    <w:rsid w:val="00DC458A"/>
    <w:rsid w:val="00DD66C9"/>
    <w:rsid w:val="00DE0C41"/>
    <w:rsid w:val="00DF2486"/>
    <w:rsid w:val="00E0505E"/>
    <w:rsid w:val="00E135C9"/>
    <w:rsid w:val="00E143B7"/>
    <w:rsid w:val="00E1552B"/>
    <w:rsid w:val="00E23975"/>
    <w:rsid w:val="00E40B44"/>
    <w:rsid w:val="00E4262C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C7D9B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10</cp:revision>
  <cp:lastPrinted>2020-02-07T03:19:00Z</cp:lastPrinted>
  <dcterms:created xsi:type="dcterms:W3CDTF">2025-03-19T04:38:00Z</dcterms:created>
  <dcterms:modified xsi:type="dcterms:W3CDTF">2025-12-12T04:40:00Z</dcterms:modified>
</cp:coreProperties>
</file>