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3" w:rsidRDefault="00D86A83" w:rsidP="00D86A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6pt;margin-top:-16.2pt;width:54.35pt;height:50.05pt;z-index:-251658240;mso-wrap-edited:f" wrapcoords="-257 0 -257 21360 21600 21360 21600 0 -257 0">
            <v:imagedata r:id="rId8" o:title=""/>
            <w10:wrap type="through" anchorx="page"/>
          </v:shape>
          <o:OLEObject Type="Embed" ProgID="MSPhotoEd.3" ShapeID="_x0000_s1026" DrawAspect="Content" ObjectID="_1540360689" r:id="rId9"/>
        </w:pict>
      </w:r>
    </w:p>
    <w:p w:rsidR="00D86A83" w:rsidRDefault="00D86A83" w:rsidP="00D86A83"/>
    <w:p w:rsidR="00D86A83" w:rsidRDefault="00D86A83" w:rsidP="00D8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D86A83" w:rsidRDefault="00D86A83" w:rsidP="00D8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D86A83" w:rsidRDefault="00D86A83" w:rsidP="00D8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6A83" w:rsidRDefault="00D86A83" w:rsidP="00D8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D86A83" w:rsidRDefault="00D86A83" w:rsidP="00D8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86A83" w:rsidRDefault="00D86A83" w:rsidP="00D8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 2016 г.   № 700-п</w:t>
      </w:r>
    </w:p>
    <w:p w:rsidR="00D86A83" w:rsidRDefault="00D86A83" w:rsidP="00D86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A83" w:rsidRDefault="00D86A83" w:rsidP="00D8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</w:p>
    <w:p w:rsidR="00D86A83" w:rsidRDefault="00D86A83" w:rsidP="00D8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Развитие здравоохранения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на 2017-2019 годы</w:t>
      </w:r>
    </w:p>
    <w:p w:rsidR="00D86A83" w:rsidRDefault="00D86A83" w:rsidP="00D8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83" w:rsidRDefault="00D86A83" w:rsidP="00D8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расходования денежных средств бюджета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порядком разработки, утверждения и реализации ведомственных целевых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02.11.2011 г. № 921-п.:</w:t>
      </w:r>
    </w:p>
    <w:p w:rsidR="00D86A83" w:rsidRDefault="00D86A83" w:rsidP="00D86A8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«Развитие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на 2017-2019 годы, согласно приложению № 1.</w:t>
      </w:r>
    </w:p>
    <w:p w:rsidR="00D86A83" w:rsidRDefault="00D86A83" w:rsidP="00D86A8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информационно-телекомуникационной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D86A83" w:rsidRDefault="00D86A83" w:rsidP="00D86A8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6A83" w:rsidRDefault="00D86A83" w:rsidP="00D86A8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с 01.01.2017 г.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12-п от 14.01.2016 г.</w:t>
      </w:r>
    </w:p>
    <w:p w:rsidR="00D86A83" w:rsidRDefault="00D86A83" w:rsidP="00D86A8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01.01.2017 г.</w:t>
      </w:r>
    </w:p>
    <w:p w:rsidR="00D86A83" w:rsidRDefault="00D86A83" w:rsidP="00D8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83" w:rsidRDefault="00D86A83" w:rsidP="00D8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A83" w:rsidRDefault="00D86A83" w:rsidP="00D8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Макута</w:t>
      </w:r>
      <w:proofErr w:type="spellEnd"/>
    </w:p>
    <w:p w:rsidR="008C25A6" w:rsidRDefault="008C25A6" w:rsidP="008C25A6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C25A6" w:rsidRDefault="008C25A6" w:rsidP="008C2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8C25A6" w:rsidRDefault="008C25A6" w:rsidP="008C2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A6" w:rsidRDefault="008C25A6" w:rsidP="008C2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C25A6" w:rsidRPr="00937EE6" w:rsidRDefault="008C25A6" w:rsidP="008C25A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7EE6">
        <w:rPr>
          <w:rFonts w:ascii="Times New Roman" w:hAnsi="Times New Roman" w:cs="Times New Roman"/>
          <w:sz w:val="28"/>
          <w:szCs w:val="28"/>
        </w:rPr>
        <w:t>_____________</w:t>
      </w:r>
      <w:r w:rsidR="00D93C55">
        <w:rPr>
          <w:rFonts w:ascii="Times New Roman" w:hAnsi="Times New Roman" w:cs="Times New Roman"/>
          <w:sz w:val="28"/>
          <w:szCs w:val="28"/>
        </w:rPr>
        <w:t>№</w:t>
      </w:r>
      <w:r w:rsidR="00937EE6" w:rsidRPr="00937EE6">
        <w:rPr>
          <w:rFonts w:ascii="Times New Roman" w:hAnsi="Times New Roman" w:cs="Times New Roman"/>
          <w:sz w:val="28"/>
          <w:szCs w:val="28"/>
        </w:rPr>
        <w:t>_____</w:t>
      </w: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2B14" w:rsidRPr="003F4DF1" w:rsidRDefault="002F2B14" w:rsidP="008C25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5A6" w:rsidRDefault="0096432D" w:rsidP="008C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Ведомственная целевая</w:t>
      </w:r>
      <w:r w:rsidR="004D5A92">
        <w:rPr>
          <w:rFonts w:ascii="Times New Roman" w:hAnsi="Times New Roman" w:cs="Times New Roman"/>
          <w:b/>
          <w:sz w:val="32"/>
          <w:szCs w:val="32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</w:rPr>
        <w:t>рограмма</w:t>
      </w: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Таштагольского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8C25A6" w:rsidRPr="00317936" w:rsidRDefault="003F4DF1" w:rsidP="008C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2017 - 2019</w:t>
      </w:r>
      <w:r w:rsidR="008C25A6">
        <w:rPr>
          <w:rFonts w:ascii="Times New Roman" w:hAnsi="Times New Roman" w:cs="Times New Roman"/>
          <w:b/>
          <w:sz w:val="32"/>
          <w:szCs w:val="32"/>
        </w:rPr>
        <w:t xml:space="preserve">  год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A6" w:rsidRDefault="008C25A6" w:rsidP="008C2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A6" w:rsidRPr="00317936" w:rsidRDefault="008C25A6" w:rsidP="008C2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36">
        <w:rPr>
          <w:rFonts w:ascii="Times New Roman" w:hAnsi="Times New Roman" w:cs="Times New Roman"/>
          <w:b/>
          <w:sz w:val="28"/>
          <w:szCs w:val="28"/>
        </w:rPr>
        <w:t xml:space="preserve">«Развитие здравоохранения </w:t>
      </w:r>
      <w:proofErr w:type="spellStart"/>
      <w:r w:rsidRPr="00317936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3179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C25A6" w:rsidRPr="0039652D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8C25A6" w:rsidRPr="0039652D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8C25A6" w:rsidRPr="0039652D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8C25A6" w:rsidRPr="0039652D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8C25A6" w:rsidRPr="0039652D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8C25A6" w:rsidRDefault="008C25A6" w:rsidP="008C25A6">
      <w:pPr>
        <w:rPr>
          <w:rFonts w:ascii="Times New Roman" w:hAnsi="Times New Roman" w:cs="Times New Roman"/>
          <w:sz w:val="28"/>
          <w:szCs w:val="28"/>
        </w:rPr>
      </w:pPr>
    </w:p>
    <w:p w:rsidR="00BC252D" w:rsidRPr="0039652D" w:rsidRDefault="00BC252D" w:rsidP="008C25A6">
      <w:pPr>
        <w:rPr>
          <w:rFonts w:ascii="Times New Roman" w:hAnsi="Times New Roman" w:cs="Times New Roman"/>
          <w:sz w:val="28"/>
          <w:szCs w:val="28"/>
        </w:rPr>
      </w:pPr>
    </w:p>
    <w:p w:rsidR="0096432D" w:rsidRDefault="0096432D" w:rsidP="008C25A6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25A6" w:rsidRDefault="008C25A6" w:rsidP="008C25A6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 201</w:t>
      </w:r>
      <w:r w:rsidR="003F4D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52D" w:rsidRPr="0091000E" w:rsidRDefault="0091000E" w:rsidP="00A226E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0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1000E" w:rsidRDefault="00BC7416" w:rsidP="00A226E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91000E" w:rsidRDefault="00933739" w:rsidP="00A226E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здравоохранения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  <w:r w:rsidR="003F4DF1">
        <w:rPr>
          <w:rFonts w:ascii="Times New Roman" w:hAnsi="Times New Roman" w:cs="Times New Roman"/>
          <w:b/>
          <w:sz w:val="28"/>
          <w:szCs w:val="28"/>
        </w:rPr>
        <w:t xml:space="preserve"> на 2017 - 2019</w:t>
      </w:r>
      <w:r w:rsidR="002A6D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4DF1">
        <w:rPr>
          <w:rFonts w:ascii="Times New Roman" w:hAnsi="Times New Roman" w:cs="Times New Roman"/>
          <w:b/>
          <w:sz w:val="28"/>
          <w:szCs w:val="28"/>
        </w:rPr>
        <w:t>ы</w:t>
      </w:r>
    </w:p>
    <w:p w:rsidR="00A226E3" w:rsidRDefault="00A226E3" w:rsidP="00A226E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6"/>
      </w:tblGrid>
      <w:tr w:rsidR="0091000E" w:rsidTr="0091000E">
        <w:tc>
          <w:tcPr>
            <w:tcW w:w="3794" w:type="dxa"/>
          </w:tcPr>
          <w:p w:rsidR="0091000E" w:rsidRDefault="0091000E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6" w:type="dxa"/>
          </w:tcPr>
          <w:p w:rsidR="0091000E" w:rsidRDefault="00AA6556" w:rsidP="00687EA8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93373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здравоохранения </w:t>
            </w:r>
            <w:proofErr w:type="spellStart"/>
            <w:r w:rsidR="00933739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9337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  <w:r w:rsidR="00263263">
              <w:rPr>
                <w:rFonts w:ascii="Times New Roman" w:hAnsi="Times New Roman" w:cs="Times New Roman"/>
                <w:sz w:val="28"/>
                <w:szCs w:val="28"/>
              </w:rPr>
              <w:t xml:space="preserve"> на 2017-2019</w:t>
            </w:r>
            <w:r w:rsidR="002A6D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632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E039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1000E" w:rsidTr="0091000E">
        <w:tc>
          <w:tcPr>
            <w:tcW w:w="3794" w:type="dxa"/>
          </w:tcPr>
          <w:p w:rsidR="0091000E" w:rsidRDefault="0091000E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6" w:type="dxa"/>
          </w:tcPr>
          <w:p w:rsidR="0091000E" w:rsidRDefault="0091000E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6" w:type="dxa"/>
          </w:tcPr>
          <w:p w:rsidR="008C25A6" w:rsidRDefault="008C25A6" w:rsidP="00EA0650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776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программы. Важнейшие целевые индикаторы</w:t>
            </w:r>
          </w:p>
        </w:tc>
        <w:tc>
          <w:tcPr>
            <w:tcW w:w="5776" w:type="dxa"/>
          </w:tcPr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оказания медицинской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жизни, повышение санитарной культуры населения и профилактика  заболеваний среди населения.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доступности медицинской помощи;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специализированной стационарной, амбулаторно-поликлинической медицинской помощи;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восстановление здоровья населения при проведении лечебно-профилактических и оздоровительных мероприятий, реализация государственной территориальной программы государственных гарантий в сфере здравоохранения населения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областных законов области здравоохранения;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оказания квалифицированной медицинской помощи, в том числе с использованием современных медицинских технологий, укрепление подразделений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материально-технической базы;</w:t>
            </w:r>
          </w:p>
          <w:p w:rsidR="008C25A6" w:rsidRDefault="008C25A6" w:rsidP="00132672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капитальных ремонтов,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оборудованием первоочередной необходимости.</w:t>
            </w:r>
          </w:p>
          <w:p w:rsidR="008C25A6" w:rsidRDefault="008C25A6" w:rsidP="004234F3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8C25A6" w:rsidRDefault="008C25A6" w:rsidP="00EA0650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76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8C25A6" w:rsidTr="0091000E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6" w:type="dxa"/>
          </w:tcPr>
          <w:p w:rsidR="008C25A6" w:rsidRDefault="00A81FE2" w:rsidP="00A81FE2">
            <w:pPr>
              <w:tabs>
                <w:tab w:val="left" w:pos="2536"/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F3574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 w:rsidR="008C25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F35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C25A6" w:rsidTr="005D244F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4820" w:type="dxa"/>
          </w:tcPr>
          <w:p w:rsidR="005D244F" w:rsidRDefault="008C25A6" w:rsidP="006D1FC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</w:t>
            </w:r>
            <w:r w:rsidR="005F3574">
              <w:rPr>
                <w:sz w:val="28"/>
                <w:szCs w:val="28"/>
              </w:rPr>
              <w:t>сего</w:t>
            </w:r>
            <w:r w:rsidR="008C13A2">
              <w:rPr>
                <w:sz w:val="28"/>
                <w:szCs w:val="28"/>
              </w:rPr>
              <w:t xml:space="preserve"> бюджетных ассигнований за счет средств </w:t>
            </w:r>
            <w:r>
              <w:rPr>
                <w:sz w:val="28"/>
                <w:szCs w:val="28"/>
              </w:rPr>
              <w:t xml:space="preserve"> областног</w:t>
            </w:r>
            <w:r w:rsidR="00D30479">
              <w:rPr>
                <w:sz w:val="28"/>
                <w:szCs w:val="28"/>
              </w:rPr>
              <w:t xml:space="preserve">о бюджета </w:t>
            </w:r>
            <w:r w:rsidR="005D244F">
              <w:rPr>
                <w:sz w:val="28"/>
                <w:szCs w:val="28"/>
              </w:rPr>
              <w:t xml:space="preserve"> на реализацию Программы  - 166 623,9</w:t>
            </w:r>
            <w:r w:rsidR="00D30479">
              <w:rPr>
                <w:sz w:val="28"/>
                <w:szCs w:val="28"/>
              </w:rPr>
              <w:t xml:space="preserve"> тыс. рублей</w:t>
            </w:r>
            <w:r w:rsidR="00937EE6" w:rsidRPr="00937EE6">
              <w:rPr>
                <w:sz w:val="28"/>
                <w:szCs w:val="28"/>
              </w:rPr>
              <w:t>,</w:t>
            </w:r>
            <w:r w:rsidR="00937EE6">
              <w:rPr>
                <w:sz w:val="27"/>
                <w:szCs w:val="27"/>
              </w:rPr>
              <w:t xml:space="preserve"> в том числе</w:t>
            </w:r>
            <w:r w:rsidR="005D244F">
              <w:rPr>
                <w:sz w:val="27"/>
                <w:szCs w:val="27"/>
              </w:rPr>
              <w:t xml:space="preserve"> по годам</w:t>
            </w:r>
            <w:r w:rsidR="00937EE6">
              <w:rPr>
                <w:sz w:val="27"/>
                <w:szCs w:val="27"/>
              </w:rPr>
              <w:t>:</w:t>
            </w:r>
          </w:p>
          <w:p w:rsidR="008C25A6" w:rsidRDefault="005D244F" w:rsidP="006D1FC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</w:t>
            </w:r>
            <w:r w:rsidR="00937EE6">
              <w:rPr>
                <w:sz w:val="27"/>
                <w:szCs w:val="27"/>
              </w:rPr>
              <w:t xml:space="preserve"> – 55 541,3 тыс. рублей</w:t>
            </w:r>
            <w:r>
              <w:rPr>
                <w:sz w:val="27"/>
                <w:szCs w:val="27"/>
              </w:rPr>
              <w:t>;</w:t>
            </w:r>
          </w:p>
          <w:p w:rsidR="006D1FC0" w:rsidRDefault="005D244F" w:rsidP="006D1FC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55 541,3 тыс. рублей;</w:t>
            </w:r>
          </w:p>
          <w:p w:rsidR="005D244F" w:rsidRPr="006D1FC0" w:rsidRDefault="005D244F" w:rsidP="006D1FC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55 541,3 тыс. рублей.</w:t>
            </w:r>
          </w:p>
        </w:tc>
      </w:tr>
      <w:tr w:rsidR="008C25A6" w:rsidTr="005D244F">
        <w:tc>
          <w:tcPr>
            <w:tcW w:w="3794" w:type="dxa"/>
          </w:tcPr>
          <w:p w:rsidR="008C25A6" w:rsidRDefault="008C25A6" w:rsidP="0091000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4820" w:type="dxa"/>
          </w:tcPr>
          <w:p w:rsidR="008C25A6" w:rsidRDefault="008C25A6" w:rsidP="00C9689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эффект:</w:t>
            </w:r>
          </w:p>
          <w:p w:rsidR="008C25A6" w:rsidRDefault="008C25A6" w:rsidP="00027717">
            <w:pPr>
              <w:rPr>
                <w:rFonts w:ascii="Times New Roman" w:hAnsi="Times New Roman"/>
                <w:sz w:val="28"/>
                <w:szCs w:val="28"/>
              </w:rPr>
            </w:pPr>
            <w:r w:rsidRPr="00DD332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продолжительности активной жизни населения за счет формирования здорового образа жизни и профилактики забо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леваний;</w:t>
            </w:r>
          </w:p>
          <w:p w:rsidR="008C25A6" w:rsidRDefault="008C25A6" w:rsidP="0002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2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детей и их родителей о пагубности вредных привычек и рациональности ведения здорового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жизни;</w:t>
            </w:r>
          </w:p>
          <w:p w:rsidR="008C25A6" w:rsidRDefault="008C25A6" w:rsidP="00C96894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общей смертности населения.</w:t>
            </w:r>
          </w:p>
          <w:p w:rsidR="008C25A6" w:rsidRDefault="008C25A6" w:rsidP="00C9689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эффект:</w:t>
            </w:r>
          </w:p>
          <w:p w:rsidR="008C25A6" w:rsidRDefault="008C25A6" w:rsidP="0090768D">
            <w:pPr>
              <w:tabs>
                <w:tab w:val="left" w:pos="39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3328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средней заработной платы медицинских работников, предоставляющих медицинские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C25A6" w:rsidRDefault="008C25A6" w:rsidP="0090768D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распределение средств выделяемых на здравоохранение, отсутствие нецелевых расходов.</w:t>
            </w:r>
          </w:p>
        </w:tc>
      </w:tr>
    </w:tbl>
    <w:p w:rsidR="0091000E" w:rsidRDefault="0091000E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7EA8" w:rsidRDefault="00687EA8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34F3" w:rsidRDefault="004234F3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6DD1" w:rsidRDefault="002A6DD1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6DD1" w:rsidRDefault="002A6DD1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0A38" w:rsidRDefault="000E0A38" w:rsidP="0091000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6556" w:rsidRPr="006F6A08" w:rsidRDefault="00AA6556" w:rsidP="006F6A08">
      <w:pPr>
        <w:pStyle w:val="a6"/>
        <w:numPr>
          <w:ilvl w:val="0"/>
          <w:numId w:val="2"/>
        </w:num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08">
        <w:rPr>
          <w:rFonts w:ascii="Times New Roman" w:hAnsi="Times New Roman" w:cs="Times New Roman"/>
          <w:b/>
          <w:sz w:val="28"/>
          <w:szCs w:val="28"/>
        </w:rPr>
        <w:lastRenderedPageBreak/>
        <w:t>Общие п</w:t>
      </w:r>
      <w:r w:rsidR="00FE039E">
        <w:rPr>
          <w:rFonts w:ascii="Times New Roman" w:hAnsi="Times New Roman" w:cs="Times New Roman"/>
          <w:b/>
          <w:sz w:val="28"/>
          <w:szCs w:val="28"/>
        </w:rPr>
        <w:t>оложения П</w:t>
      </w:r>
      <w:r w:rsidRPr="006F6A08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AA6556" w:rsidRPr="004E26AA" w:rsidRDefault="00AA6556" w:rsidP="00AA6556">
      <w:pPr>
        <w:pStyle w:val="a6"/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F7" w:rsidRDefault="00FE039E" w:rsidP="0090768D">
      <w:pPr>
        <w:pStyle w:val="a6"/>
        <w:tabs>
          <w:tab w:val="left" w:pos="394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9E">
        <w:rPr>
          <w:rFonts w:ascii="Times New Roman" w:hAnsi="Times New Roman" w:cs="Times New Roman"/>
          <w:sz w:val="28"/>
          <w:szCs w:val="28"/>
        </w:rPr>
        <w:t>Необходимость подготовки и реализации Программы вызвана рядом факторов социально-экономического характера, влияющих на качество жизни населения.</w:t>
      </w:r>
    </w:p>
    <w:p w:rsidR="004E26AA" w:rsidRPr="004E26AA" w:rsidRDefault="004E26AA" w:rsidP="0090768D">
      <w:pPr>
        <w:pStyle w:val="a6"/>
        <w:tabs>
          <w:tab w:val="left" w:pos="394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AA">
        <w:rPr>
          <w:rFonts w:ascii="Times New Roman" w:hAnsi="Times New Roman" w:cs="Times New Roman"/>
          <w:sz w:val="28"/>
          <w:szCs w:val="28"/>
        </w:rPr>
        <w:t xml:space="preserve">Объектом регулирования </w:t>
      </w:r>
      <w:r w:rsidR="00FE039E">
        <w:rPr>
          <w:rFonts w:ascii="Times New Roman" w:hAnsi="Times New Roman" w:cs="Times New Roman"/>
          <w:sz w:val="28"/>
          <w:szCs w:val="28"/>
        </w:rPr>
        <w:t>Программы</w:t>
      </w:r>
      <w:r w:rsidRPr="004E26AA">
        <w:rPr>
          <w:rFonts w:ascii="Times New Roman" w:hAnsi="Times New Roman" w:cs="Times New Roman"/>
          <w:sz w:val="28"/>
          <w:szCs w:val="28"/>
        </w:rPr>
        <w:t xml:space="preserve"> является уровень состояния здоровья населения </w:t>
      </w:r>
      <w:r>
        <w:rPr>
          <w:rFonts w:ascii="Times New Roman" w:hAnsi="Times New Roman" w:cs="Times New Roman"/>
          <w:sz w:val="28"/>
          <w:szCs w:val="28"/>
        </w:rPr>
        <w:t>района.</w:t>
      </w:r>
      <w:r w:rsidR="00C04E81">
        <w:rPr>
          <w:rFonts w:ascii="Times New Roman" w:hAnsi="Times New Roman" w:cs="Times New Roman"/>
          <w:sz w:val="28"/>
          <w:szCs w:val="28"/>
        </w:rPr>
        <w:t xml:space="preserve"> </w:t>
      </w:r>
      <w:r w:rsidRPr="004E26AA">
        <w:rPr>
          <w:rFonts w:ascii="Times New Roman" w:hAnsi="Times New Roman" w:cs="Times New Roman"/>
          <w:sz w:val="28"/>
          <w:szCs w:val="28"/>
        </w:rPr>
        <w:t>Предметом регулирования Программы является система мероприятий, направленных на создание условий к формированию у населения потребностей и мотиваций на профилактику заболеваний, ведение здорового образа жизни, приводящих к снижению заболеваемости, смертности от управляемых причин и стабилизации ожидаемой продолжительности жизни.</w:t>
      </w:r>
    </w:p>
    <w:p w:rsidR="0090768D" w:rsidRDefault="004E26AA" w:rsidP="0090768D">
      <w:pPr>
        <w:pStyle w:val="a6"/>
        <w:tabs>
          <w:tab w:val="left" w:pos="394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933739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C04E81">
        <w:rPr>
          <w:rFonts w:ascii="Times New Roman" w:hAnsi="Times New Roman" w:cs="Times New Roman"/>
          <w:sz w:val="28"/>
          <w:szCs w:val="28"/>
        </w:rPr>
        <w:t>на основании</w:t>
      </w:r>
      <w:r w:rsidR="00933739">
        <w:rPr>
          <w:rFonts w:ascii="Times New Roman" w:hAnsi="Times New Roman" w:cs="Times New Roman"/>
          <w:sz w:val="28"/>
          <w:szCs w:val="28"/>
        </w:rPr>
        <w:t xml:space="preserve"> </w:t>
      </w:r>
      <w:r w:rsidR="00C04E81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r w:rsidR="00430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8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430E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4E81">
        <w:rPr>
          <w:rFonts w:ascii="Times New Roman" w:hAnsi="Times New Roman" w:cs="Times New Roman"/>
          <w:sz w:val="28"/>
          <w:szCs w:val="28"/>
        </w:rPr>
        <w:t xml:space="preserve">от 02.11.2011 г. № 921-п </w:t>
      </w:r>
      <w:r w:rsidR="00430E8E">
        <w:rPr>
          <w:rFonts w:ascii="Times New Roman" w:hAnsi="Times New Roman" w:cs="Times New Roman"/>
          <w:sz w:val="28"/>
          <w:szCs w:val="28"/>
        </w:rPr>
        <w:t>«Об утверждении Порядка разработки, утверждения и реализации ведомственных целевых программ муниципального образования «</w:t>
      </w:r>
      <w:proofErr w:type="spellStart"/>
      <w:r w:rsidR="00430E8E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430E8E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933739" w:rsidRDefault="004E26AA" w:rsidP="0090768D">
      <w:pPr>
        <w:pStyle w:val="a6"/>
        <w:tabs>
          <w:tab w:val="left" w:pos="394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768D">
        <w:rPr>
          <w:rFonts w:ascii="Times New Roman" w:hAnsi="Times New Roman" w:cs="Times New Roman"/>
          <w:sz w:val="28"/>
          <w:szCs w:val="28"/>
        </w:rPr>
        <w:t xml:space="preserve">рограмма утверждается Администрацией </w:t>
      </w:r>
      <w:proofErr w:type="spellStart"/>
      <w:r w:rsidR="0090768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076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0768D" w:rsidRDefault="00333014" w:rsidP="0090768D">
      <w:pPr>
        <w:spacing w:after="0"/>
        <w:ind w:firstLine="709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</w:rPr>
      </w:pP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Целевой установкой Программы является сохранение здоровья населения</w:t>
      </w:r>
      <w:r w:rsidR="008C13A2">
        <w:rPr>
          <w:rStyle w:val="a7"/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области. Для достижения цели необходимо обеспечение доступности медицинской помощи по всем ее направлениям: профилактика, диагностика, лечение заболеваний по самым современным организационным и медицинским технологиям.</w:t>
      </w:r>
    </w:p>
    <w:p w:rsidR="00333014" w:rsidRDefault="00333014" w:rsidP="0090768D">
      <w:pPr>
        <w:spacing w:after="0"/>
        <w:ind w:firstLine="709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</w:rPr>
      </w:pP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Создание условий для повышения  качества и доступности медицинской</w:t>
      </w:r>
      <w:r w:rsidR="008C13A2">
        <w:rPr>
          <w:rStyle w:val="a7"/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помощи с учетом демографической ситуации является приоритетным направлением здравоохранения Кемеровской области.</w:t>
      </w:r>
    </w:p>
    <w:p w:rsidR="004234F3" w:rsidRDefault="004234F3" w:rsidP="00907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Times New Roman" w:hAnsi="Times New Roman"/>
          <w:b w:val="0"/>
          <w:sz w:val="28"/>
          <w:szCs w:val="28"/>
        </w:rPr>
        <w:t>Финансовое обеспечение Программы осуществляется за счет бюджетных ассигнований областного бюджета.</w:t>
      </w:r>
    </w:p>
    <w:p w:rsidR="00813AFF" w:rsidRDefault="00813AFF" w:rsidP="0039652D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DB7BC4" w:rsidRPr="006F6A08" w:rsidRDefault="006F6A08" w:rsidP="006F6A08">
      <w:pPr>
        <w:pStyle w:val="a6"/>
        <w:numPr>
          <w:ilvl w:val="0"/>
          <w:numId w:val="2"/>
        </w:num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08">
        <w:rPr>
          <w:rFonts w:ascii="Times New Roman" w:hAnsi="Times New Roman" w:cs="Times New Roman"/>
          <w:b/>
          <w:sz w:val="28"/>
          <w:szCs w:val="28"/>
        </w:rPr>
        <w:t>Характеристика сферы действия программы</w:t>
      </w:r>
    </w:p>
    <w:p w:rsidR="00DB2C93" w:rsidRDefault="00DB2C93" w:rsidP="00C53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9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B2C93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задач стратегического плана устойчивого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2C9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DB2C93">
        <w:rPr>
          <w:rFonts w:ascii="Times New Roman" w:hAnsi="Times New Roman" w:cs="Times New Roman"/>
          <w:sz w:val="28"/>
          <w:szCs w:val="28"/>
        </w:rPr>
        <w:t xml:space="preserve"> проводится планомерная работа по снижению рисков для здоровья населения и формированию здорового образа жизни у жителей города. </w:t>
      </w:r>
    </w:p>
    <w:p w:rsidR="00D516E1" w:rsidRDefault="00D516E1" w:rsidP="00C53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E13" w:rsidRPr="00160E13" w:rsidRDefault="00DB2C93" w:rsidP="00C532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93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Реализуемые в последние годы мероприятия позволили улучшить общую демографическую ситуацию, снизить заболеваемость и смертность населения, в том числе от управляемых причин, увеличить продолжительность жизни, повысить доступность получения медицинской помощи и качество жизни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B2C93">
        <w:rPr>
          <w:rFonts w:ascii="Times New Roman" w:hAnsi="Times New Roman" w:cs="Times New Roman"/>
          <w:sz w:val="28"/>
          <w:szCs w:val="28"/>
        </w:rPr>
        <w:t xml:space="preserve">. </w:t>
      </w:r>
      <w:r w:rsidR="001F2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заболеваемости, смертности и повышения продолжительности жизни жителей </w:t>
      </w:r>
      <w:proofErr w:type="spellStart"/>
      <w:r w:rsidR="001F2012">
        <w:rPr>
          <w:rFonts w:ascii="Times New Roman" w:hAnsi="Times New Roman" w:cs="Times New Roman"/>
          <w:color w:val="000000" w:themeColor="text1"/>
          <w:sz w:val="28"/>
          <w:szCs w:val="28"/>
        </w:rPr>
        <w:t>Таштагольского</w:t>
      </w:r>
      <w:proofErr w:type="spellEnd"/>
      <w:r w:rsidR="001F2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в</w:t>
      </w:r>
      <w:r w:rsidR="00160E13" w:rsidRPr="00160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ведомственной целевой программы </w:t>
      </w:r>
      <w:r w:rsidR="001F2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</w:t>
      </w:r>
      <w:r w:rsidR="00160E13" w:rsidRPr="00160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медицинская помощь</w:t>
      </w:r>
      <w:r w:rsidR="001F20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5727" w:rsidRPr="00B63C3E" w:rsidRDefault="00B63C3E" w:rsidP="00DD7A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63C3E">
        <w:rPr>
          <w:rFonts w:ascii="Times New Roman" w:eastAsia="Times New Roman" w:hAnsi="Times New Roman" w:cs="Times New Roman"/>
          <w:sz w:val="28"/>
          <w:szCs w:val="28"/>
        </w:rPr>
        <w:t>Наркологическая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>На основании Приказа №</w:t>
      </w:r>
      <w:r w:rsidR="008C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>46 МБУЗ «</w:t>
      </w:r>
      <w:proofErr w:type="spellStart"/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>Таштагольская</w:t>
      </w:r>
      <w:proofErr w:type="spellEnd"/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 xml:space="preserve"> ЦРБ» от 01.02.2013</w:t>
      </w:r>
      <w:r w:rsidR="008C13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 xml:space="preserve"> открылось наркологическое отделение на 10 коек, </w:t>
      </w:r>
      <w:r w:rsidR="00DC09EC">
        <w:rPr>
          <w:rFonts w:ascii="Times New Roman" w:eastAsia="Times New Roman" w:hAnsi="Times New Roman" w:cs="Times New Roman"/>
          <w:sz w:val="28"/>
          <w:szCs w:val="28"/>
        </w:rPr>
        <w:t xml:space="preserve"> в 2015</w:t>
      </w:r>
      <w:r w:rsidR="008C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EC">
        <w:rPr>
          <w:rFonts w:ascii="Times New Roman" w:eastAsia="Times New Roman" w:hAnsi="Times New Roman" w:cs="Times New Roman"/>
          <w:sz w:val="28"/>
          <w:szCs w:val="28"/>
        </w:rPr>
        <w:t xml:space="preserve">г. количество коек увеличено до 12, </w:t>
      </w:r>
      <w:r w:rsidR="00445727" w:rsidRPr="00B63C3E">
        <w:rPr>
          <w:rFonts w:ascii="Times New Roman" w:eastAsia="Times New Roman" w:hAnsi="Times New Roman" w:cs="Times New Roman"/>
          <w:sz w:val="28"/>
          <w:szCs w:val="28"/>
        </w:rPr>
        <w:t xml:space="preserve">путем реорганизации коечного фонда терапевтического и реанимационного отделения.  </w:t>
      </w:r>
    </w:p>
    <w:p w:rsidR="00445727" w:rsidRPr="00945125" w:rsidRDefault="00445727" w:rsidP="00DD7A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25">
        <w:rPr>
          <w:rFonts w:ascii="Times New Roman" w:eastAsia="Times New Roman" w:hAnsi="Times New Roman" w:cs="Times New Roman"/>
          <w:sz w:val="28"/>
          <w:szCs w:val="28"/>
        </w:rPr>
        <w:t xml:space="preserve"> Отделение располагается в капитально отремонтированном здании. Оснащено  компьютерной техникой, 2 </w:t>
      </w:r>
      <w:proofErr w:type="spellStart"/>
      <w:r w:rsidRPr="00945125">
        <w:rPr>
          <w:rFonts w:ascii="Times New Roman" w:eastAsia="Times New Roman" w:hAnsi="Times New Roman" w:cs="Times New Roman"/>
          <w:sz w:val="28"/>
          <w:szCs w:val="28"/>
        </w:rPr>
        <w:t>алкометра</w:t>
      </w:r>
      <w:proofErr w:type="spellEnd"/>
      <w:r w:rsidR="00C0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5">
        <w:rPr>
          <w:rFonts w:ascii="Times New Roman" w:eastAsia="Times New Roman" w:hAnsi="Times New Roman" w:cs="Times New Roman"/>
          <w:sz w:val="28"/>
          <w:szCs w:val="28"/>
          <w:lang w:val="en-US"/>
        </w:rPr>
        <w:t>LIONSD</w:t>
      </w:r>
      <w:r w:rsidRPr="00945125">
        <w:rPr>
          <w:rFonts w:ascii="Times New Roman" w:eastAsia="Times New Roman" w:hAnsi="Times New Roman" w:cs="Times New Roman"/>
          <w:sz w:val="28"/>
          <w:szCs w:val="28"/>
        </w:rPr>
        <w:t xml:space="preserve"> – 400 </w:t>
      </w:r>
      <w:r w:rsidRPr="0094512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45125">
        <w:rPr>
          <w:rFonts w:ascii="Times New Roman" w:eastAsia="Times New Roman" w:hAnsi="Times New Roman" w:cs="Times New Roman"/>
          <w:sz w:val="28"/>
          <w:szCs w:val="28"/>
        </w:rPr>
        <w:t xml:space="preserve">, аппаратом ЭКГ, анализатором для </w:t>
      </w:r>
      <w:proofErr w:type="spellStart"/>
      <w:r w:rsidRPr="00945125">
        <w:rPr>
          <w:rFonts w:ascii="Times New Roman" w:eastAsia="Times New Roman" w:hAnsi="Times New Roman" w:cs="Times New Roman"/>
          <w:sz w:val="28"/>
          <w:szCs w:val="28"/>
        </w:rPr>
        <w:t>химико</w:t>
      </w:r>
      <w:proofErr w:type="spellEnd"/>
      <w:r w:rsidRPr="009451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45125">
        <w:rPr>
          <w:rFonts w:ascii="Times New Roman" w:eastAsia="Times New Roman" w:hAnsi="Times New Roman" w:cs="Times New Roman"/>
          <w:sz w:val="28"/>
          <w:szCs w:val="28"/>
        </w:rPr>
        <w:t>токсикологичеких</w:t>
      </w:r>
      <w:proofErr w:type="spellEnd"/>
      <w:r w:rsidRPr="0094512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IK 200609. </w:t>
      </w:r>
    </w:p>
    <w:p w:rsidR="00EA0650" w:rsidRPr="00EA0650" w:rsidRDefault="00EA0650" w:rsidP="00EA06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50">
        <w:rPr>
          <w:rFonts w:ascii="Times New Roman" w:eastAsia="Times New Roman" w:hAnsi="Times New Roman" w:cs="Times New Roman"/>
          <w:sz w:val="28"/>
          <w:szCs w:val="28"/>
        </w:rPr>
        <w:t>В  2015 году продолжается тенденция  увеличения заболеваемости алкогольными психозами в 3,9 раза в сравнении с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 годом. Болезненность алкогольными психозами увеличилась до 3,9. Увеличилось количество обращений за наркологической помощью. Резкий рост алкогольных психозов свидетельствует об утяжелении течения заболевания у больных хроническим алкоголизмом, увеличении потребления спиртных напитков,  низком качестве потребляемых спиртных напитков, позднем обращении граждан за медицинской помощью. Отмечается более интенсивный рост алкогольных психозов у лиц молодого возраста и женщин. Отмечается увеличение заболеваемости алкоголизмом по сравнению с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 годом и уровень болезненности остается без изменений, что объясняется соблюдением преемственности в оказании стационарной и амбулаторной помощи наркологическим больным. Показатели заболеваемости наркоманиями увеличились в 2,3 раза по сравнению с 2014 годом, это связано с улучшением диагностики употребления синтетических наркотических веществ, показатели болезненности наркоманиями имеют тенденцию к уменьшению. </w:t>
      </w:r>
    </w:p>
    <w:p w:rsidR="00EA0650" w:rsidRPr="00EA0650" w:rsidRDefault="00EA0650" w:rsidP="00727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Пролечено </w:t>
      </w:r>
      <w:proofErr w:type="spellStart"/>
      <w:r w:rsidRPr="00EA0650">
        <w:rPr>
          <w:rFonts w:ascii="Times New Roman" w:eastAsia="Times New Roman" w:hAnsi="Times New Roman" w:cs="Times New Roman"/>
          <w:sz w:val="28"/>
          <w:szCs w:val="28"/>
        </w:rPr>
        <w:t>амбулаторно</w:t>
      </w:r>
      <w:proofErr w:type="spellEnd"/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 315 больных, стационарно</w:t>
      </w:r>
      <w:r w:rsidR="00727BC8">
        <w:rPr>
          <w:rFonts w:ascii="Times New Roman" w:eastAsia="Times New Roman" w:hAnsi="Times New Roman" w:cs="Times New Roman"/>
          <w:sz w:val="28"/>
          <w:szCs w:val="28"/>
        </w:rPr>
        <w:t>е лечение  прошли 484  больных.</w:t>
      </w:r>
    </w:p>
    <w:p w:rsidR="00727BC8" w:rsidRDefault="00EA0650" w:rsidP="00727B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Изготовлены буклеты профилактической направленности в количестве 16000 </w:t>
      </w:r>
      <w:r w:rsidR="008C13A2" w:rsidRPr="00EA0650">
        <w:rPr>
          <w:rFonts w:ascii="Times New Roman" w:eastAsia="Times New Roman" w:hAnsi="Times New Roman" w:cs="Times New Roman"/>
          <w:sz w:val="28"/>
          <w:szCs w:val="28"/>
        </w:rPr>
        <w:t>экз</w:t>
      </w:r>
      <w:r w:rsidR="008C13A2">
        <w:rPr>
          <w:rFonts w:ascii="Times New Roman" w:eastAsia="Times New Roman" w:hAnsi="Times New Roman" w:cs="Times New Roman"/>
          <w:sz w:val="28"/>
          <w:szCs w:val="28"/>
        </w:rPr>
        <w:t>емпляров</w:t>
      </w:r>
      <w:r w:rsidRPr="00EA0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>С 1 января 201</w:t>
      </w:r>
      <w:r w:rsidR="00727B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проведено: </w:t>
      </w:r>
      <w:r w:rsidR="00727BC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 xml:space="preserve"> лекции, охват составил </w:t>
      </w:r>
      <w:r w:rsidR="00727B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>77 чел</w:t>
      </w:r>
      <w:r w:rsidR="008C13A2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 xml:space="preserve">, 2 выступления на телевидении «Эфир – Т», 1 выступление на радио. В проведении лекций приняли участие: врач психиатр-нарколог, психолог. В школах проводится тестирование школьников на употребление наркотиков. Для тестирования используются </w:t>
      </w:r>
      <w:proofErr w:type="spellStart"/>
      <w:proofErr w:type="gramStart"/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>экспресс-тесты</w:t>
      </w:r>
      <w:proofErr w:type="spellEnd"/>
      <w:proofErr w:type="gramEnd"/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 xml:space="preserve"> ИХА – Мульти 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определение 5 видов наркотиков в моче. Протестировано  -  </w:t>
      </w:r>
      <w:r w:rsidR="00727BC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27BC8" w:rsidRPr="00EA0650">
        <w:rPr>
          <w:rFonts w:ascii="Times New Roman" w:eastAsia="Times New Roman" w:hAnsi="Times New Roman" w:cs="Times New Roman"/>
          <w:sz w:val="28"/>
          <w:szCs w:val="28"/>
        </w:rPr>
        <w:t>0 школьников 10 классов в рамках постановки на воинский учет.</w:t>
      </w:r>
    </w:p>
    <w:p w:rsidR="00445727" w:rsidRPr="00D8564E" w:rsidRDefault="00B63C3E" w:rsidP="00EA0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D3">
        <w:rPr>
          <w:rFonts w:ascii="Times New Roman" w:hAnsi="Times New Roman" w:cs="Times New Roman"/>
          <w:sz w:val="28"/>
          <w:szCs w:val="28"/>
        </w:rPr>
        <w:t>-</w:t>
      </w:r>
      <w:r w:rsidR="00727BC8" w:rsidRPr="004A40D3">
        <w:rPr>
          <w:rFonts w:ascii="Times New Roman" w:hAnsi="Times New Roman" w:cs="Times New Roman"/>
          <w:sz w:val="28"/>
          <w:szCs w:val="28"/>
        </w:rPr>
        <w:t>К</w:t>
      </w:r>
      <w:r w:rsidRPr="004A40D3">
        <w:rPr>
          <w:rFonts w:ascii="Times New Roman" w:hAnsi="Times New Roman" w:cs="Times New Roman"/>
          <w:sz w:val="28"/>
          <w:szCs w:val="28"/>
        </w:rPr>
        <w:t>ожно-венерол</w:t>
      </w:r>
      <w:r w:rsidR="00EA0650" w:rsidRPr="004A40D3">
        <w:rPr>
          <w:rFonts w:ascii="Times New Roman" w:hAnsi="Times New Roman" w:cs="Times New Roman"/>
          <w:sz w:val="28"/>
          <w:szCs w:val="28"/>
        </w:rPr>
        <w:t>о</w:t>
      </w:r>
      <w:r w:rsidRPr="004A40D3">
        <w:rPr>
          <w:rFonts w:ascii="Times New Roman" w:hAnsi="Times New Roman" w:cs="Times New Roman"/>
          <w:sz w:val="28"/>
          <w:szCs w:val="28"/>
        </w:rPr>
        <w:t>г</w:t>
      </w:r>
      <w:r w:rsidR="00EA0650" w:rsidRPr="004A40D3">
        <w:rPr>
          <w:rFonts w:ascii="Times New Roman" w:hAnsi="Times New Roman" w:cs="Times New Roman"/>
          <w:sz w:val="28"/>
          <w:szCs w:val="28"/>
        </w:rPr>
        <w:t>иче</w:t>
      </w:r>
      <w:r w:rsidRPr="004A40D3">
        <w:rPr>
          <w:rFonts w:ascii="Times New Roman" w:hAnsi="Times New Roman" w:cs="Times New Roman"/>
          <w:sz w:val="28"/>
          <w:szCs w:val="28"/>
        </w:rPr>
        <w:t>ская</w:t>
      </w:r>
      <w:r w:rsidR="00727BC8" w:rsidRPr="004A40D3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4A40D3">
        <w:rPr>
          <w:rFonts w:ascii="Times New Roman" w:hAnsi="Times New Roman" w:cs="Times New Roman"/>
          <w:sz w:val="28"/>
          <w:szCs w:val="28"/>
        </w:rPr>
        <w:t xml:space="preserve">. </w:t>
      </w:r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Кожно-венерологическое отделение  создано как самостоятельное подразделение   </w:t>
      </w:r>
      <w:proofErr w:type="spellStart"/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Таштагольской</w:t>
      </w:r>
      <w:proofErr w:type="spellEnd"/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больницы в 1943 г., в 1970 </w:t>
      </w:r>
      <w:r w:rsidR="008C13A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г. </w:t>
      </w:r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преобразовано в   кожно-венерологический диспансер. С 2005</w:t>
      </w:r>
      <w:r w:rsidR="00442ACC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года</w:t>
      </w:r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входит в состав Центральной   городской  больницы как кожно-венерологическое отделение. Кожно-венерологическое отделение имеет   амбулаторное о</w:t>
      </w:r>
      <w:r w:rsidR="00152951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тделение и стационар на 15 коек</w:t>
      </w:r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.   Финансирование  кожно-венерологического отделения на 50% бюджетное   и   на 50% - за   счет   средств   </w:t>
      </w:r>
      <w:proofErr w:type="spellStart"/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ОМС</w:t>
      </w:r>
      <w:proofErr w:type="gramStart"/>
      <w:r w:rsidR="00445727" w:rsidRPr="00D8564E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.</w:t>
      </w:r>
      <w:r w:rsidR="00445727" w:rsidRPr="00D856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45727" w:rsidRPr="00D8564E">
        <w:rPr>
          <w:rFonts w:ascii="Times New Roman" w:hAnsi="Times New Roman" w:cs="Times New Roman"/>
          <w:sz w:val="28"/>
          <w:szCs w:val="28"/>
        </w:rPr>
        <w:t>ожно-венерологическое</w:t>
      </w:r>
      <w:proofErr w:type="spellEnd"/>
      <w:r w:rsidR="00445727" w:rsidRPr="00D8564E">
        <w:rPr>
          <w:rFonts w:ascii="Times New Roman" w:hAnsi="Times New Roman" w:cs="Times New Roman"/>
          <w:sz w:val="28"/>
          <w:szCs w:val="28"/>
        </w:rPr>
        <w:t xml:space="preserve"> диспансер МБУЗ «</w:t>
      </w:r>
      <w:proofErr w:type="spellStart"/>
      <w:r w:rsidR="00445727" w:rsidRPr="00D8564E"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 w:rsidR="00445727" w:rsidRPr="00D8564E">
        <w:rPr>
          <w:rFonts w:ascii="Times New Roman" w:hAnsi="Times New Roman" w:cs="Times New Roman"/>
          <w:sz w:val="28"/>
          <w:szCs w:val="28"/>
        </w:rPr>
        <w:t xml:space="preserve"> ЦРБ» оказывает стационарную помощь, (круглосуточный стационар, дневной стационар) амбулаторно-поликлиническую помощь. </w:t>
      </w:r>
      <w:r w:rsidR="007060C2">
        <w:rPr>
          <w:rFonts w:ascii="Times New Roman" w:hAnsi="Times New Roman" w:cs="Times New Roman"/>
          <w:sz w:val="28"/>
          <w:szCs w:val="28"/>
        </w:rPr>
        <w:t>В 201</w:t>
      </w:r>
      <w:r w:rsidR="00EA0650">
        <w:rPr>
          <w:rFonts w:ascii="Times New Roman" w:hAnsi="Times New Roman" w:cs="Times New Roman"/>
          <w:sz w:val="28"/>
          <w:szCs w:val="28"/>
        </w:rPr>
        <w:t>6</w:t>
      </w:r>
      <w:r w:rsidR="007060C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83A5A">
        <w:rPr>
          <w:rFonts w:ascii="Times New Roman" w:hAnsi="Times New Roman" w:cs="Times New Roman"/>
          <w:sz w:val="28"/>
          <w:szCs w:val="28"/>
        </w:rPr>
        <w:t xml:space="preserve"> продолжалось  снижаться </w:t>
      </w:r>
      <w:r w:rsidR="00445727" w:rsidRPr="00D8564E">
        <w:rPr>
          <w:rFonts w:ascii="Times New Roman" w:hAnsi="Times New Roman" w:cs="Times New Roman"/>
          <w:sz w:val="28"/>
          <w:szCs w:val="28"/>
        </w:rPr>
        <w:t>заболеваемост</w:t>
      </w:r>
      <w:r w:rsidR="00483A5A">
        <w:rPr>
          <w:rFonts w:ascii="Times New Roman" w:hAnsi="Times New Roman" w:cs="Times New Roman"/>
          <w:sz w:val="28"/>
          <w:szCs w:val="28"/>
        </w:rPr>
        <w:t>и</w:t>
      </w:r>
      <w:r w:rsidR="00445727" w:rsidRPr="00D8564E">
        <w:rPr>
          <w:rFonts w:ascii="Times New Roman" w:hAnsi="Times New Roman" w:cs="Times New Roman"/>
          <w:sz w:val="28"/>
          <w:szCs w:val="28"/>
        </w:rPr>
        <w:t xml:space="preserve"> сифилисом и гонорей в 2,5 раза. В 201</w:t>
      </w:r>
      <w:r w:rsidR="00483A5A">
        <w:rPr>
          <w:rFonts w:ascii="Times New Roman" w:hAnsi="Times New Roman" w:cs="Times New Roman"/>
          <w:sz w:val="28"/>
          <w:szCs w:val="28"/>
        </w:rPr>
        <w:t>5</w:t>
      </w:r>
      <w:r w:rsidR="00445727" w:rsidRPr="00D8564E">
        <w:rPr>
          <w:rFonts w:ascii="Times New Roman" w:hAnsi="Times New Roman" w:cs="Times New Roman"/>
          <w:sz w:val="28"/>
          <w:szCs w:val="28"/>
        </w:rPr>
        <w:t xml:space="preserve"> году на бюджетных койках пролечено 2</w:t>
      </w:r>
      <w:r w:rsidR="00483A5A">
        <w:rPr>
          <w:rFonts w:ascii="Times New Roman" w:hAnsi="Times New Roman" w:cs="Times New Roman"/>
          <w:sz w:val="28"/>
          <w:szCs w:val="28"/>
        </w:rPr>
        <w:t>34</w:t>
      </w:r>
      <w:r w:rsidR="00445727" w:rsidRPr="00D8564E">
        <w:rPr>
          <w:rFonts w:ascii="Times New Roman" w:hAnsi="Times New Roman" w:cs="Times New Roman"/>
          <w:sz w:val="28"/>
          <w:szCs w:val="28"/>
        </w:rPr>
        <w:t xml:space="preserve"> больных.  В стационаре проходят превентивное лечение серорезистентные пациенты, беременные женщины.  </w:t>
      </w:r>
    </w:p>
    <w:p w:rsidR="00445727" w:rsidRPr="00D8564E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4E">
        <w:rPr>
          <w:rFonts w:ascii="Times New Roman" w:hAnsi="Times New Roman" w:cs="Times New Roman"/>
          <w:sz w:val="28"/>
          <w:szCs w:val="28"/>
        </w:rPr>
        <w:t xml:space="preserve">Инфекции, передающиеся половым путем, оказывают прямое влияние на репродуктивное здоровье населения, поскольку приводят к бесплодию, в первую очередь среди женщин, </w:t>
      </w:r>
      <w:r w:rsidR="008C13A2" w:rsidRPr="00D8564E">
        <w:rPr>
          <w:rFonts w:ascii="Times New Roman" w:hAnsi="Times New Roman" w:cs="Times New Roman"/>
          <w:sz w:val="28"/>
          <w:szCs w:val="28"/>
        </w:rPr>
        <w:t>будущих</w:t>
      </w:r>
      <w:r w:rsidRPr="00D8564E">
        <w:rPr>
          <w:rFonts w:ascii="Times New Roman" w:hAnsi="Times New Roman" w:cs="Times New Roman"/>
          <w:sz w:val="28"/>
          <w:szCs w:val="28"/>
        </w:rPr>
        <w:t xml:space="preserve"> матерей.  Реализация Программы позволит усилить работу по предупреждению распространения инфекций, передающихся половым путем, особенно среди детей и подростков, увеличить объем профилактической и лечебной помощи населению в амбулаторных условиях, профилактику врожденного сифилиса.</w:t>
      </w:r>
    </w:p>
    <w:p w:rsidR="00445727" w:rsidRPr="001B37DE" w:rsidRDefault="00E81805" w:rsidP="00DD7A75">
      <w:pPr>
        <w:spacing w:after="0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сестринского ухода. </w:t>
      </w:r>
      <w:r w:rsidR="00445727" w:rsidRPr="00D8564E">
        <w:rPr>
          <w:rFonts w:ascii="Times New Roman" w:hAnsi="Times New Roman" w:cs="Times New Roman"/>
          <w:sz w:val="28"/>
          <w:szCs w:val="28"/>
        </w:rPr>
        <w:t xml:space="preserve">Отделение сестринского ухода находится на базе </w:t>
      </w:r>
      <w:proofErr w:type="spellStart"/>
      <w:r w:rsidR="00445727" w:rsidRPr="00D8564E">
        <w:rPr>
          <w:rFonts w:ascii="Times New Roman" w:hAnsi="Times New Roman" w:cs="Times New Roman"/>
          <w:sz w:val="28"/>
          <w:szCs w:val="28"/>
        </w:rPr>
        <w:t>Шерегешской</w:t>
      </w:r>
      <w:proofErr w:type="spellEnd"/>
      <w:r w:rsidR="00445727" w:rsidRPr="00D8564E">
        <w:rPr>
          <w:rFonts w:ascii="Times New Roman" w:hAnsi="Times New Roman" w:cs="Times New Roman"/>
          <w:sz w:val="28"/>
          <w:szCs w:val="28"/>
        </w:rPr>
        <w:t xml:space="preserve"> участковой больницы </w:t>
      </w:r>
      <w:r w:rsidR="003F606D">
        <w:rPr>
          <w:rFonts w:ascii="Times New Roman" w:hAnsi="Times New Roman" w:cs="Times New Roman"/>
          <w:sz w:val="28"/>
          <w:szCs w:val="28"/>
        </w:rPr>
        <w:t xml:space="preserve">на 20 коек и участковой больницы </w:t>
      </w:r>
      <w:proofErr w:type="spellStart"/>
      <w:r w:rsidR="003F60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F606D">
        <w:rPr>
          <w:rFonts w:ascii="Times New Roman" w:hAnsi="Times New Roman" w:cs="Times New Roman"/>
          <w:sz w:val="28"/>
          <w:szCs w:val="28"/>
        </w:rPr>
        <w:t>. Мундыбаш на 5 коек.  В</w:t>
      </w:r>
      <w:r w:rsidR="00445727" w:rsidRPr="00D8564E">
        <w:rPr>
          <w:rFonts w:ascii="Times New Roman" w:hAnsi="Times New Roman" w:cs="Times New Roman"/>
          <w:sz w:val="28"/>
          <w:szCs w:val="28"/>
        </w:rPr>
        <w:t xml:space="preserve"> течение года на койках сестринского ухода получают помощь 25-30 человек.</w:t>
      </w:r>
      <w:r w:rsidR="00445727" w:rsidRPr="00D85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 сестринского ухода предназначается для проведения курса поддерживающего лечения больным преимущественно пожилого и старческого возраста, одиноким, страдающим хроническими заболеваниями и нуждающимся в медицинском и социальном уход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5727" w:rsidRPr="00D85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5727" w:rsidRPr="00F301EA" w:rsidRDefault="00E81805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D3">
        <w:rPr>
          <w:sz w:val="28"/>
          <w:szCs w:val="28"/>
        </w:rPr>
        <w:t>-</w:t>
      </w:r>
      <w:r w:rsidR="004A40D3">
        <w:rPr>
          <w:sz w:val="28"/>
          <w:szCs w:val="28"/>
        </w:rPr>
        <w:t xml:space="preserve"> </w:t>
      </w:r>
      <w:r w:rsidR="00445727" w:rsidRPr="004A40D3">
        <w:rPr>
          <w:sz w:val="28"/>
          <w:szCs w:val="28"/>
        </w:rPr>
        <w:t>КДК</w:t>
      </w:r>
      <w:r w:rsidR="004A40D3">
        <w:rPr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40D3">
        <w:rPr>
          <w:rFonts w:ascii="Times New Roman" w:hAnsi="Times New Roman" w:cs="Times New Roman"/>
          <w:sz w:val="28"/>
          <w:szCs w:val="28"/>
        </w:rPr>
        <w:t xml:space="preserve"> </w:t>
      </w:r>
      <w:r w:rsidR="00445727" w:rsidRPr="000A72F8">
        <w:rPr>
          <w:rFonts w:ascii="Times New Roman" w:hAnsi="Times New Roman" w:cs="Times New Roman"/>
          <w:sz w:val="28"/>
          <w:szCs w:val="28"/>
        </w:rPr>
        <w:t xml:space="preserve">целом эпидемическая ситуация в Кузбассе по ВИЧ-инфекции к настоящему моменту может быть оценена как неблагополучная. Общее количество ВИЧ-инфицированных, зарегистрированных в </w:t>
      </w:r>
      <w:proofErr w:type="spellStart"/>
      <w:r w:rsidR="00445727" w:rsidRPr="000A72F8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="00445727" w:rsidRPr="000A72F8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45727">
        <w:rPr>
          <w:rFonts w:ascii="Times New Roman" w:hAnsi="Times New Roman" w:cs="Times New Roman"/>
          <w:sz w:val="28"/>
          <w:szCs w:val="28"/>
        </w:rPr>
        <w:t>на 01.01.201</w:t>
      </w:r>
      <w:r w:rsidR="00483A5A">
        <w:rPr>
          <w:rFonts w:ascii="Times New Roman" w:hAnsi="Times New Roman" w:cs="Times New Roman"/>
          <w:sz w:val="28"/>
          <w:szCs w:val="28"/>
        </w:rPr>
        <w:t>6</w:t>
      </w:r>
      <w:r w:rsidR="00E603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5727">
        <w:rPr>
          <w:rFonts w:ascii="Times New Roman" w:hAnsi="Times New Roman" w:cs="Times New Roman"/>
          <w:sz w:val="28"/>
          <w:szCs w:val="28"/>
        </w:rPr>
        <w:t>5</w:t>
      </w:r>
      <w:r w:rsidR="00483A5A">
        <w:rPr>
          <w:rFonts w:ascii="Times New Roman" w:hAnsi="Times New Roman" w:cs="Times New Roman"/>
          <w:sz w:val="28"/>
          <w:szCs w:val="28"/>
        </w:rPr>
        <w:t xml:space="preserve">77 </w:t>
      </w:r>
      <w:r w:rsidR="00445727" w:rsidRPr="000A72F8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445727">
        <w:rPr>
          <w:rFonts w:ascii="Times New Roman" w:hAnsi="Times New Roman" w:cs="Times New Roman"/>
          <w:sz w:val="28"/>
          <w:szCs w:val="28"/>
        </w:rPr>
        <w:t xml:space="preserve">показатель на 100 тыс.  – </w:t>
      </w:r>
      <w:r w:rsidR="00483A5A">
        <w:rPr>
          <w:rFonts w:ascii="Times New Roman" w:hAnsi="Times New Roman" w:cs="Times New Roman"/>
          <w:sz w:val="28"/>
          <w:szCs w:val="28"/>
        </w:rPr>
        <w:t>1078</w:t>
      </w:r>
      <w:r w:rsidR="00445727">
        <w:rPr>
          <w:rFonts w:ascii="Times New Roman" w:hAnsi="Times New Roman" w:cs="Times New Roman"/>
          <w:sz w:val="28"/>
          <w:szCs w:val="28"/>
        </w:rPr>
        <w:t>,</w:t>
      </w:r>
      <w:r w:rsidR="00483A5A">
        <w:rPr>
          <w:rFonts w:ascii="Times New Roman" w:hAnsi="Times New Roman" w:cs="Times New Roman"/>
          <w:sz w:val="28"/>
          <w:szCs w:val="28"/>
        </w:rPr>
        <w:t>0</w:t>
      </w:r>
      <w:r w:rsidR="00E6036F">
        <w:rPr>
          <w:rFonts w:ascii="Times New Roman" w:hAnsi="Times New Roman" w:cs="Times New Roman"/>
          <w:sz w:val="28"/>
          <w:szCs w:val="28"/>
        </w:rPr>
        <w:t xml:space="preserve">, </w:t>
      </w:r>
      <w:r w:rsidR="00445727">
        <w:rPr>
          <w:rFonts w:ascii="Times New Roman" w:hAnsi="Times New Roman" w:cs="Times New Roman"/>
          <w:sz w:val="28"/>
          <w:szCs w:val="28"/>
        </w:rPr>
        <w:t>что в 2,6 раза ниже областного показателя. В</w:t>
      </w:r>
      <w:r w:rsidR="00445727" w:rsidRPr="00F301EA">
        <w:rPr>
          <w:rFonts w:ascii="Times New Roman" w:hAnsi="Times New Roman" w:cs="Times New Roman"/>
          <w:sz w:val="28"/>
          <w:szCs w:val="28"/>
        </w:rPr>
        <w:t xml:space="preserve"> 201</w:t>
      </w:r>
      <w:r w:rsidR="00483A5A">
        <w:rPr>
          <w:rFonts w:ascii="Times New Roman" w:hAnsi="Times New Roman" w:cs="Times New Roman"/>
          <w:sz w:val="28"/>
          <w:szCs w:val="28"/>
        </w:rPr>
        <w:t>5</w:t>
      </w:r>
      <w:r w:rsidR="00445727" w:rsidRPr="00F301E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8C13A2">
        <w:rPr>
          <w:rFonts w:ascii="Times New Roman" w:hAnsi="Times New Roman" w:cs="Times New Roman"/>
          <w:sz w:val="28"/>
          <w:szCs w:val="28"/>
        </w:rPr>
        <w:t xml:space="preserve"> </w:t>
      </w:r>
      <w:r w:rsidR="00483A5A">
        <w:rPr>
          <w:rFonts w:ascii="Times New Roman" w:hAnsi="Times New Roman" w:cs="Times New Roman"/>
          <w:sz w:val="28"/>
          <w:szCs w:val="28"/>
        </w:rPr>
        <w:t>6</w:t>
      </w:r>
      <w:r w:rsidR="00445727">
        <w:rPr>
          <w:rFonts w:ascii="Times New Roman" w:hAnsi="Times New Roman" w:cs="Times New Roman"/>
          <w:sz w:val="28"/>
          <w:szCs w:val="28"/>
        </w:rPr>
        <w:t>9 человек с ВИЧ инфекцией.</w:t>
      </w:r>
      <w:r w:rsidR="008C13A2">
        <w:rPr>
          <w:rFonts w:ascii="Times New Roman" w:hAnsi="Times New Roman" w:cs="Times New Roman"/>
          <w:sz w:val="28"/>
          <w:szCs w:val="28"/>
        </w:rPr>
        <w:t xml:space="preserve"> За 8 месяцев </w:t>
      </w:r>
      <w:r w:rsidR="00EA0650">
        <w:rPr>
          <w:rFonts w:ascii="Times New Roman" w:hAnsi="Times New Roman" w:cs="Times New Roman"/>
          <w:sz w:val="28"/>
          <w:szCs w:val="28"/>
        </w:rPr>
        <w:t xml:space="preserve"> 2016</w:t>
      </w:r>
      <w:r w:rsidR="008C13A2">
        <w:rPr>
          <w:rFonts w:ascii="Times New Roman" w:hAnsi="Times New Roman" w:cs="Times New Roman"/>
          <w:sz w:val="28"/>
          <w:szCs w:val="28"/>
        </w:rPr>
        <w:t xml:space="preserve"> </w:t>
      </w:r>
      <w:r w:rsidR="00EA0650">
        <w:rPr>
          <w:rFonts w:ascii="Times New Roman" w:hAnsi="Times New Roman" w:cs="Times New Roman"/>
          <w:sz w:val="28"/>
          <w:szCs w:val="28"/>
        </w:rPr>
        <w:t>г.</w:t>
      </w:r>
      <w:r w:rsidR="003E3552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BD7F4D">
        <w:rPr>
          <w:rFonts w:ascii="Times New Roman" w:hAnsi="Times New Roman" w:cs="Times New Roman"/>
          <w:sz w:val="28"/>
          <w:szCs w:val="28"/>
        </w:rPr>
        <w:t>53 человека.</w:t>
      </w:r>
      <w:bookmarkStart w:id="0" w:name="_GoBack"/>
      <w:bookmarkEnd w:id="0"/>
    </w:p>
    <w:p w:rsidR="00445727" w:rsidRPr="00E81805" w:rsidRDefault="00445727" w:rsidP="00DD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805">
        <w:rPr>
          <w:rFonts w:ascii="Times New Roman" w:hAnsi="Times New Roman" w:cs="Times New Roman"/>
          <w:sz w:val="28"/>
          <w:szCs w:val="28"/>
        </w:rPr>
        <w:t xml:space="preserve">Доля населения, живущих с ВИЧ в целом по России составляет 0,4%; в Кемеровской области – ≈1%; в </w:t>
      </w:r>
      <w:proofErr w:type="spellStart"/>
      <w:r w:rsidRPr="00E81805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E81805">
        <w:rPr>
          <w:rFonts w:ascii="Times New Roman" w:hAnsi="Times New Roman" w:cs="Times New Roman"/>
          <w:sz w:val="28"/>
          <w:szCs w:val="28"/>
        </w:rPr>
        <w:t xml:space="preserve"> районе – 0,74%.</w:t>
      </w:r>
      <w:proofErr w:type="gramEnd"/>
    </w:p>
    <w:p w:rsidR="00445727" w:rsidRPr="00E81805" w:rsidRDefault="00445727" w:rsidP="00DD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05">
        <w:rPr>
          <w:rFonts w:ascii="Times New Roman" w:hAnsi="Times New Roman" w:cs="Times New Roman"/>
          <w:sz w:val="28"/>
          <w:szCs w:val="28"/>
        </w:rPr>
        <w:lastRenderedPageBreak/>
        <w:t>По кумулятивным показателям наш район «отодвинулся от лидеров» с 9-10 места в 1998</w:t>
      </w:r>
      <w:r w:rsidR="00E6036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81805">
        <w:rPr>
          <w:rFonts w:ascii="Times New Roman" w:hAnsi="Times New Roman" w:cs="Times New Roman"/>
          <w:sz w:val="28"/>
          <w:szCs w:val="28"/>
        </w:rPr>
        <w:t>,  по показателям за 2014 год – на 31-е место, т.е. отодвинулся от «лидеров» на 19-20 позиций.</w:t>
      </w:r>
    </w:p>
    <w:p w:rsidR="00445727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F8">
        <w:rPr>
          <w:rFonts w:ascii="Times New Roman" w:hAnsi="Times New Roman" w:cs="Times New Roman"/>
          <w:sz w:val="28"/>
          <w:szCs w:val="28"/>
        </w:rPr>
        <w:t>Реализация подпрограммы позволит своевременно выявлять ВИЧ-инфицированных, особенно в группах риска, обеспечит разрыв эпидемиологических цепочек, снизит риск медицинского пути передачи ВИЧ-инфекции.</w:t>
      </w:r>
    </w:p>
    <w:p w:rsidR="00607E79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Кемеровской области от </w:t>
      </w:r>
      <w:r w:rsidR="00607E79">
        <w:rPr>
          <w:rFonts w:ascii="Times New Roman" w:hAnsi="Times New Roman" w:cs="Times New Roman"/>
          <w:sz w:val="28"/>
          <w:szCs w:val="28"/>
        </w:rPr>
        <w:t>30.09.2015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7E79">
        <w:rPr>
          <w:rFonts w:ascii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hAnsi="Times New Roman" w:cs="Times New Roman"/>
          <w:sz w:val="28"/>
          <w:szCs w:val="28"/>
        </w:rPr>
        <w:t xml:space="preserve"> –«Об </w:t>
      </w:r>
      <w:r w:rsidR="00607E79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денежной выплаты детям, страдающим онкологическими заболеваниями» в </w:t>
      </w:r>
      <w:proofErr w:type="spellStart"/>
      <w:r w:rsidR="00607E79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="00607E79">
        <w:rPr>
          <w:rFonts w:ascii="Times New Roman" w:hAnsi="Times New Roman" w:cs="Times New Roman"/>
          <w:sz w:val="28"/>
          <w:szCs w:val="28"/>
        </w:rPr>
        <w:t xml:space="preserve"> районе денежную выплату получат </w:t>
      </w:r>
      <w:r w:rsidR="00D13ACC">
        <w:rPr>
          <w:rFonts w:ascii="Times New Roman" w:hAnsi="Times New Roman" w:cs="Times New Roman"/>
          <w:sz w:val="28"/>
          <w:szCs w:val="28"/>
        </w:rPr>
        <w:t>5</w:t>
      </w:r>
      <w:r w:rsidR="00607E79">
        <w:rPr>
          <w:rFonts w:ascii="Times New Roman" w:hAnsi="Times New Roman" w:cs="Times New Roman"/>
          <w:sz w:val="28"/>
          <w:szCs w:val="28"/>
        </w:rPr>
        <w:t xml:space="preserve"> детей, из расчета 580 рублей в месяц на одного человека.</w:t>
      </w:r>
    </w:p>
    <w:p w:rsidR="00445727" w:rsidRPr="00D8564E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4E">
        <w:rPr>
          <w:rFonts w:ascii="Times New Roman" w:hAnsi="Times New Roman" w:cs="Times New Roman"/>
        </w:rPr>
        <w:t>"</w:t>
      </w:r>
      <w:r w:rsidRPr="00D8564E">
        <w:rPr>
          <w:rFonts w:ascii="Times New Roman" w:hAnsi="Times New Roman" w:cs="Times New Roman"/>
          <w:sz w:val="28"/>
          <w:szCs w:val="28"/>
        </w:rPr>
        <w:t>Выплаты гражданам, имеющим почетное звание". В МБУЗ «</w:t>
      </w:r>
      <w:proofErr w:type="spellStart"/>
      <w:r w:rsidRPr="00D8564E"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 w:rsidRPr="00D8564E">
        <w:rPr>
          <w:rFonts w:ascii="Times New Roman" w:hAnsi="Times New Roman" w:cs="Times New Roman"/>
          <w:sz w:val="28"/>
          <w:szCs w:val="28"/>
        </w:rPr>
        <w:t xml:space="preserve"> ЦРБ» один врач имеет звание "Заслуженный врач России" Выплаты за почетное звание производятся работающим жителям города Кемерово, имеющим почетные звания "Народный врач СССР", "Заслуженный врач РСФСР", заслуженного врача союзных республик, входивших в состав СССР, "Заслуженный врач Российской Федерации", "Заслуженный работник здравоохранения Российской Федерации".</w:t>
      </w:r>
    </w:p>
    <w:p w:rsidR="00445727" w:rsidRPr="009D68AA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AA">
        <w:rPr>
          <w:rFonts w:ascii="Times New Roman" w:hAnsi="Times New Roman" w:cs="Times New Roman"/>
          <w:sz w:val="28"/>
          <w:szCs w:val="28"/>
        </w:rPr>
        <w:t xml:space="preserve">В рамках подпрограммы "Лекарственное обеспечение"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льготное лекарственное обеспечение в </w:t>
      </w:r>
      <w:r w:rsidR="00E81805">
        <w:rPr>
          <w:rFonts w:ascii="Times New Roman" w:hAnsi="Times New Roman" w:cs="Times New Roman"/>
          <w:sz w:val="28"/>
          <w:szCs w:val="28"/>
        </w:rPr>
        <w:t>соответствии</w:t>
      </w:r>
      <w:r w:rsidRPr="009D68A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 Правительства РФ</w:t>
      </w:r>
      <w:r w:rsidR="0094724D">
        <w:rPr>
          <w:rFonts w:ascii="Times New Roman" w:hAnsi="Times New Roman" w:cs="Times New Roman"/>
          <w:sz w:val="28"/>
          <w:szCs w:val="28"/>
        </w:rPr>
        <w:t xml:space="preserve"> от 30 июля 1994 года №</w:t>
      </w:r>
      <w:r w:rsidRPr="009D68AA">
        <w:rPr>
          <w:rFonts w:ascii="Times New Roman" w:hAnsi="Times New Roman" w:cs="Times New Roman"/>
          <w:sz w:val="28"/>
          <w:szCs w:val="28"/>
        </w:rPr>
        <w:t xml:space="preserve"> 890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назначения". Реализация мероприятий данной подпрограммы позволит улучшить качество оказания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 w:rsidRPr="009D68AA">
        <w:rPr>
          <w:rFonts w:ascii="Times New Roman" w:hAnsi="Times New Roman" w:cs="Times New Roman"/>
          <w:sz w:val="28"/>
          <w:szCs w:val="28"/>
        </w:rPr>
        <w:t xml:space="preserve"> помощи и увеличит доступность лекарственного обеспечения отдельных категорий граждан.</w:t>
      </w:r>
    </w:p>
    <w:p w:rsidR="00445727" w:rsidRPr="003C7974" w:rsidRDefault="00445727" w:rsidP="00DD7A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74">
        <w:rPr>
          <w:rFonts w:ascii="Times New Roman" w:hAnsi="Times New Roman" w:cs="Times New Roman"/>
          <w:sz w:val="28"/>
          <w:szCs w:val="28"/>
        </w:rPr>
        <w:t xml:space="preserve">Мероприятие: "Бесплатное лекарственное обеспечение, предоставляемое по рецептам врачей детям-сиротам и детям, оставшимся без попечения родителей, в возрасте до 6 лет, находящимся под опекой, в приемной семье". </w:t>
      </w:r>
      <w:proofErr w:type="gramStart"/>
      <w:r w:rsidRPr="003C79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3C7974">
        <w:rPr>
          <w:rFonts w:ascii="Times New Roman" w:hAnsi="Times New Roman" w:cs="Times New Roman"/>
          <w:sz w:val="28"/>
          <w:szCs w:val="28"/>
        </w:rPr>
        <w:t xml:space="preserve"> проживает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7BC8">
        <w:rPr>
          <w:rFonts w:ascii="Times New Roman" w:hAnsi="Times New Roman" w:cs="Times New Roman"/>
          <w:sz w:val="28"/>
          <w:szCs w:val="28"/>
        </w:rPr>
        <w:t>9</w:t>
      </w:r>
      <w:r w:rsidRPr="003C7974">
        <w:rPr>
          <w:rFonts w:ascii="Times New Roman" w:hAnsi="Times New Roman" w:cs="Times New Roman"/>
          <w:sz w:val="28"/>
          <w:szCs w:val="28"/>
        </w:rPr>
        <w:t xml:space="preserve"> детей, относящихся к данной категории, обеспечение которых медикаментами необходимо согласно постановления Администрации Кем</w:t>
      </w:r>
      <w:r w:rsidR="001A7E8E">
        <w:rPr>
          <w:rFonts w:ascii="Times New Roman" w:hAnsi="Times New Roman" w:cs="Times New Roman"/>
          <w:sz w:val="28"/>
          <w:szCs w:val="28"/>
        </w:rPr>
        <w:t>еровской области от 21.10.2013 года №</w:t>
      </w:r>
      <w:r w:rsidRPr="003C7974">
        <w:rPr>
          <w:rFonts w:ascii="Times New Roman" w:hAnsi="Times New Roman" w:cs="Times New Roman"/>
          <w:sz w:val="28"/>
          <w:szCs w:val="28"/>
        </w:rPr>
        <w:t>444 "О бесплатном обеспечении детей-сирот и детей, оставшихся без попечения родителей, в возрасте до 6 лет, находящихся под опекой, в приемных семьях, лекарственными препаратами" и во исполнение Закона Кемеровской области от 14.12.2010</w:t>
      </w:r>
      <w:r w:rsidR="001A7E8E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C7974">
        <w:rPr>
          <w:rFonts w:ascii="Times New Roman" w:hAnsi="Times New Roman" w:cs="Times New Roman"/>
          <w:sz w:val="28"/>
          <w:szCs w:val="28"/>
        </w:rPr>
        <w:t xml:space="preserve"> 124-ОЗ "О некоторых вопросах в организации</w:t>
      </w:r>
      <w:proofErr w:type="gramEnd"/>
      <w:r w:rsidRPr="003C7974">
        <w:rPr>
          <w:rFonts w:ascii="Times New Roman" w:hAnsi="Times New Roman" w:cs="Times New Roman"/>
          <w:sz w:val="28"/>
          <w:szCs w:val="28"/>
        </w:rPr>
        <w:t xml:space="preserve"> опеки и попечительства несовершеннолетних"</w:t>
      </w:r>
      <w:r>
        <w:rPr>
          <w:rFonts w:ascii="Times New Roman" w:hAnsi="Times New Roman" w:cs="Times New Roman"/>
          <w:sz w:val="28"/>
          <w:szCs w:val="28"/>
        </w:rPr>
        <w:t xml:space="preserve">, 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позволит </w:t>
      </w:r>
      <w:r w:rsidRPr="003C7974">
        <w:rPr>
          <w:rFonts w:ascii="Times New Roman" w:hAnsi="Times New Roman" w:cs="Times New Roman"/>
          <w:sz w:val="28"/>
          <w:szCs w:val="28"/>
        </w:rPr>
        <w:t>улучшить доступной и качественно медицинской помощи, улучшение состояния здоровья детей и матерей, снижение младенческой смертности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C93" w:rsidRDefault="00DB2C93" w:rsidP="00C53269">
      <w:pPr>
        <w:spacing w:after="0"/>
        <w:ind w:firstLine="709"/>
        <w:jc w:val="both"/>
      </w:pPr>
    </w:p>
    <w:p w:rsidR="006F6A08" w:rsidRDefault="00C96894" w:rsidP="006F6A08">
      <w:pPr>
        <w:pStyle w:val="a6"/>
        <w:numPr>
          <w:ilvl w:val="0"/>
          <w:numId w:val="2"/>
        </w:num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0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6F6A08" w:rsidRPr="006F6A0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A6EC1" w:rsidRPr="003A6EC1" w:rsidRDefault="003A6EC1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Основной целью </w:t>
      </w:r>
      <w:r w:rsidRPr="003A6EC1">
        <w:rPr>
          <w:rFonts w:ascii="Times New Roman" w:hAnsi="Times New Roman" w:cs="Times New Roman"/>
          <w:sz w:val="28"/>
          <w:szCs w:val="28"/>
        </w:rPr>
        <w:t xml:space="preserve">Программы является совершенствование оказания медицинской помощи населению </w:t>
      </w:r>
      <w:proofErr w:type="spellStart"/>
      <w:r w:rsidR="00E665F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665F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665F7" w:rsidRPr="007D6F7B">
        <w:rPr>
          <w:rFonts w:ascii="Times New Roman" w:hAnsi="Times New Roman" w:cs="Times New Roman"/>
          <w:color w:val="000000"/>
          <w:sz w:val="28"/>
          <w:szCs w:val="28"/>
        </w:rPr>
        <w:t>увеличение доступности медицинской помощи и эффективности использования ресурсов здравоохранения, сохранение и улучшение здоровья населения, сокращение прямых и косвенных потерь общества за счет снижения заболеваемости и смертности населения и, как следствие, увеличение продолжительности жизни.</w:t>
      </w:r>
    </w:p>
    <w:p w:rsidR="00E665F7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Данная цель достижима при выполнении следующих задач:</w:t>
      </w:r>
    </w:p>
    <w:p w:rsidR="00E665F7" w:rsidRPr="00E665F7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E665F7">
        <w:rPr>
          <w:rFonts w:ascii="Times New Roman" w:hAnsi="Times New Roman" w:cs="Times New Roman"/>
          <w:sz w:val="28"/>
          <w:szCs w:val="28"/>
        </w:rPr>
        <w:t>оказание специализированной стационарной, амбулаторно-пол</w:t>
      </w:r>
      <w:r>
        <w:rPr>
          <w:rFonts w:ascii="Times New Roman" w:hAnsi="Times New Roman" w:cs="Times New Roman"/>
          <w:sz w:val="28"/>
          <w:szCs w:val="28"/>
        </w:rPr>
        <w:t>иклинической медицинской помощи;</w:t>
      </w:r>
    </w:p>
    <w:p w:rsidR="005C2E17" w:rsidRPr="0045370D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C2E17" w:rsidRPr="004537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пропаганда здорового образа жизни и мониторинг </w:t>
      </w:r>
      <w:proofErr w:type="gramStart"/>
      <w:r w:rsidR="005C2E17" w:rsidRPr="004537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распространенности факторов риска возникновения заболеваний</w:t>
      </w:r>
      <w:proofErr w:type="gramEnd"/>
      <w:r w:rsidR="005C2E17" w:rsidRPr="004537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Решение этой задачи должно способствовать усилению влияния системы здравоохранения на факторы риска возникновения заболеваний у пациентов;</w:t>
      </w:r>
      <w:r w:rsidR="005C2E17" w:rsidRPr="004537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формирование у населения мотивации к рационализации питания, к ограничению курения, снижению потребления алкоголя. Достигается путем реализации политики, направленной на информирование различных групп населения о здоровом питании.</w:t>
      </w:r>
    </w:p>
    <w:p w:rsidR="00027717" w:rsidRDefault="00E665F7" w:rsidP="00027717">
      <w:pPr>
        <w:pStyle w:val="3"/>
        <w:spacing w:after="0"/>
        <w:ind w:left="0" w:firstLine="708"/>
        <w:jc w:val="left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027717">
        <w:rPr>
          <w:rFonts w:ascii="Times New Roman" w:eastAsia="Times New Roman" w:hAnsi="Times New Roman"/>
          <w:sz w:val="28"/>
          <w:szCs w:val="28"/>
          <w:lang w:eastAsia="en-US"/>
        </w:rPr>
        <w:t>р</w:t>
      </w:r>
      <w:r w:rsidR="00027717" w:rsidRPr="00E9589A">
        <w:rPr>
          <w:rFonts w:ascii="Times New Roman" w:eastAsia="Times New Roman" w:hAnsi="Times New Roman"/>
          <w:sz w:val="28"/>
          <w:szCs w:val="28"/>
          <w:lang w:eastAsia="en-US"/>
        </w:rPr>
        <w:t>аннее выявление инфицированных ВИЧ, ост</w:t>
      </w:r>
      <w:r w:rsidR="00027717">
        <w:rPr>
          <w:rFonts w:ascii="Times New Roman" w:eastAsia="Times New Roman" w:hAnsi="Times New Roman"/>
          <w:sz w:val="28"/>
          <w:szCs w:val="28"/>
          <w:lang w:eastAsia="en-US"/>
        </w:rPr>
        <w:t>рыми вирусными гепатитами</w:t>
      </w:r>
      <w:proofErr w:type="gramStart"/>
      <w:r w:rsidR="00027717">
        <w:rPr>
          <w:rFonts w:ascii="Times New Roman" w:eastAsia="Times New Roman" w:hAnsi="Times New Roman"/>
          <w:sz w:val="28"/>
          <w:szCs w:val="28"/>
          <w:lang w:eastAsia="en-US"/>
        </w:rPr>
        <w:t xml:space="preserve"> В</w:t>
      </w:r>
      <w:proofErr w:type="gramEnd"/>
      <w:r w:rsidR="00027717">
        <w:rPr>
          <w:rFonts w:ascii="Times New Roman" w:eastAsia="Times New Roman" w:hAnsi="Times New Roman"/>
          <w:sz w:val="28"/>
          <w:szCs w:val="28"/>
          <w:lang w:eastAsia="en-US"/>
        </w:rPr>
        <w:t xml:space="preserve"> и С;</w:t>
      </w:r>
    </w:p>
    <w:p w:rsidR="00F5630A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5630A">
        <w:rPr>
          <w:rFonts w:ascii="Times New Roman" w:hAnsi="Times New Roman" w:cs="Times New Roman"/>
          <w:sz w:val="28"/>
          <w:szCs w:val="28"/>
        </w:rPr>
        <w:t xml:space="preserve">беспечить оказание населению </w:t>
      </w:r>
      <w:proofErr w:type="spellStart"/>
      <w:r w:rsidR="00F5630A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F5630A">
        <w:rPr>
          <w:rFonts w:ascii="Times New Roman" w:hAnsi="Times New Roman" w:cs="Times New Roman"/>
          <w:sz w:val="28"/>
          <w:szCs w:val="28"/>
        </w:rPr>
        <w:t xml:space="preserve"> района квалифицированной медицинской помощи, в том числе с использованием современных технологий;</w:t>
      </w:r>
    </w:p>
    <w:p w:rsidR="00F5630A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630A">
        <w:rPr>
          <w:rFonts w:ascii="Times New Roman" w:hAnsi="Times New Roman" w:cs="Times New Roman"/>
          <w:sz w:val="28"/>
          <w:szCs w:val="28"/>
        </w:rPr>
        <w:t>обеспечить с</w:t>
      </w:r>
      <w:r w:rsidR="000D37D5">
        <w:rPr>
          <w:rFonts w:ascii="Times New Roman" w:hAnsi="Times New Roman" w:cs="Times New Roman"/>
          <w:sz w:val="28"/>
          <w:szCs w:val="28"/>
        </w:rPr>
        <w:t>нижение показателей смертности к 2018 году до 13,5</w:t>
      </w:r>
      <w:r w:rsidR="00F5630A">
        <w:rPr>
          <w:rFonts w:ascii="Times New Roman" w:hAnsi="Times New Roman" w:cs="Times New Roman"/>
          <w:sz w:val="28"/>
          <w:szCs w:val="28"/>
        </w:rPr>
        <w:t xml:space="preserve"> на 1000 населения;</w:t>
      </w:r>
    </w:p>
    <w:p w:rsidR="000D37D5" w:rsidRDefault="00E665F7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30A">
        <w:rPr>
          <w:rFonts w:ascii="Times New Roman" w:hAnsi="Times New Roman" w:cs="Times New Roman"/>
          <w:sz w:val="28"/>
          <w:szCs w:val="28"/>
        </w:rPr>
        <w:t xml:space="preserve"> обеспечить с</w:t>
      </w:r>
      <w:r w:rsidR="000D37D5">
        <w:rPr>
          <w:rFonts w:ascii="Times New Roman" w:hAnsi="Times New Roman" w:cs="Times New Roman"/>
          <w:sz w:val="28"/>
          <w:szCs w:val="28"/>
        </w:rPr>
        <w:t>нижение количества зарегистрированных больных с диагнозом, установленным впервые в жизни, - активный туберкулез до 85,9 на</w:t>
      </w:r>
      <w:r w:rsidR="00F5630A">
        <w:rPr>
          <w:rFonts w:ascii="Times New Roman" w:hAnsi="Times New Roman" w:cs="Times New Roman"/>
          <w:sz w:val="28"/>
          <w:szCs w:val="28"/>
        </w:rPr>
        <w:t xml:space="preserve"> 100 тыс. населения к 2018 году;</w:t>
      </w:r>
    </w:p>
    <w:p w:rsidR="00F5630A" w:rsidRDefault="00F5630A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материально-техническую базу МБУЗ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оснастить оборудовани</w:t>
      </w:r>
      <w:r w:rsidR="007D6F7B">
        <w:rPr>
          <w:rFonts w:ascii="Times New Roman" w:hAnsi="Times New Roman" w:cs="Times New Roman"/>
          <w:sz w:val="28"/>
          <w:szCs w:val="28"/>
        </w:rPr>
        <w:t>ем первоочередной необходимости, провести капитальные ремонты систем, зданий и сооружений в соответствии с современными требованиями;</w:t>
      </w:r>
    </w:p>
    <w:p w:rsidR="00F5630A" w:rsidRDefault="00F5630A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улучшить лекарственное обеспечение отдельных групп граждан по категориям заболеваний, детей-сирот и детей, оставшихся без попечения родителей, в возрасте до 6 лет, находящихся под опекой.</w:t>
      </w:r>
    </w:p>
    <w:p w:rsidR="00333014" w:rsidRPr="002D6901" w:rsidRDefault="00333014" w:rsidP="00333014">
      <w:pPr>
        <w:pStyle w:val="Style2"/>
        <w:widowControl/>
        <w:spacing w:line="240" w:lineRule="auto"/>
        <w:ind w:firstLine="720"/>
        <w:rPr>
          <w:rStyle w:val="a7"/>
          <w:rFonts w:ascii="Times New Roman" w:hAnsi="Times New Roman"/>
          <w:b w:val="0"/>
          <w:sz w:val="28"/>
          <w:szCs w:val="28"/>
        </w:rPr>
      </w:pPr>
      <w:r w:rsidRPr="002D6901">
        <w:rPr>
          <w:rStyle w:val="a7"/>
          <w:rFonts w:ascii="Times New Roman" w:hAnsi="Times New Roman"/>
          <w:b w:val="0"/>
          <w:sz w:val="28"/>
          <w:szCs w:val="28"/>
        </w:rPr>
        <w:t>сни</w:t>
      </w:r>
      <w:r>
        <w:rPr>
          <w:rStyle w:val="a7"/>
          <w:rFonts w:ascii="Times New Roman" w:hAnsi="Times New Roman"/>
          <w:b w:val="0"/>
          <w:sz w:val="28"/>
          <w:szCs w:val="28"/>
        </w:rPr>
        <w:t>жение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 xml:space="preserve"> смертност</w:t>
      </w:r>
      <w:r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 xml:space="preserve"> на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селения от дорожно-транспортных 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>происшествий;</w:t>
      </w:r>
    </w:p>
    <w:p w:rsidR="00333014" w:rsidRPr="002D6901" w:rsidRDefault="00333014" w:rsidP="00333014">
      <w:pPr>
        <w:pStyle w:val="Style2"/>
        <w:widowControl/>
        <w:spacing w:line="240" w:lineRule="auto"/>
        <w:ind w:firstLine="720"/>
        <w:rPr>
          <w:rStyle w:val="a7"/>
          <w:rFonts w:ascii="Times New Roman" w:hAnsi="Times New Roman"/>
          <w:b w:val="0"/>
          <w:sz w:val="28"/>
          <w:szCs w:val="28"/>
        </w:rPr>
      </w:pPr>
      <w:r w:rsidRPr="002D6901">
        <w:rPr>
          <w:rStyle w:val="a7"/>
          <w:rFonts w:ascii="Times New Roman" w:hAnsi="Times New Roman"/>
          <w:b w:val="0"/>
          <w:sz w:val="28"/>
          <w:szCs w:val="28"/>
        </w:rPr>
        <w:t>сни</w:t>
      </w:r>
      <w:r>
        <w:rPr>
          <w:rStyle w:val="a7"/>
          <w:rFonts w:ascii="Times New Roman" w:hAnsi="Times New Roman"/>
          <w:b w:val="0"/>
          <w:sz w:val="28"/>
          <w:szCs w:val="28"/>
        </w:rPr>
        <w:t>жение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 xml:space="preserve"> инвалидност</w:t>
      </w:r>
      <w:r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 xml:space="preserve"> постр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адавших от дорожно-транспортных </w:t>
      </w:r>
      <w:r w:rsidRPr="002D6901">
        <w:rPr>
          <w:rStyle w:val="a7"/>
          <w:rFonts w:ascii="Times New Roman" w:hAnsi="Times New Roman"/>
          <w:b w:val="0"/>
          <w:sz w:val="28"/>
          <w:szCs w:val="28"/>
        </w:rPr>
        <w:t>происшествий;</w:t>
      </w:r>
    </w:p>
    <w:p w:rsidR="00333014" w:rsidRDefault="00333014" w:rsidP="00333014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сни</w:t>
      </w:r>
      <w:r>
        <w:rPr>
          <w:rStyle w:val="a7"/>
          <w:rFonts w:ascii="Times New Roman" w:eastAsia="Times New Roman" w:hAnsi="Times New Roman"/>
          <w:b w:val="0"/>
          <w:sz w:val="28"/>
          <w:szCs w:val="28"/>
        </w:rPr>
        <w:t>жение</w:t>
      </w: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 xml:space="preserve"> экономически</w:t>
      </w:r>
      <w:r>
        <w:rPr>
          <w:rStyle w:val="a7"/>
          <w:rFonts w:ascii="Times New Roman" w:eastAsia="Times New Roman" w:hAnsi="Times New Roman"/>
          <w:b w:val="0"/>
          <w:sz w:val="28"/>
          <w:szCs w:val="28"/>
        </w:rPr>
        <w:t>х</w:t>
      </w: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 xml:space="preserve"> потер</w:t>
      </w:r>
      <w:r>
        <w:rPr>
          <w:rStyle w:val="a7"/>
          <w:rFonts w:ascii="Times New Roman" w:eastAsia="Times New Roman" w:hAnsi="Times New Roman"/>
          <w:b w:val="0"/>
          <w:sz w:val="28"/>
          <w:szCs w:val="28"/>
        </w:rPr>
        <w:t xml:space="preserve">ь за счет сохранения трудового </w:t>
      </w:r>
      <w:r w:rsidRPr="002D6901">
        <w:rPr>
          <w:rStyle w:val="a7"/>
          <w:rFonts w:ascii="Times New Roman" w:eastAsia="Times New Roman" w:hAnsi="Times New Roman"/>
          <w:b w:val="0"/>
          <w:sz w:val="28"/>
          <w:szCs w:val="28"/>
        </w:rPr>
        <w:t>потенциала</w:t>
      </w:r>
      <w:r w:rsidR="003F606D">
        <w:rPr>
          <w:rStyle w:val="a7"/>
          <w:rFonts w:ascii="Times New Roman" w:eastAsia="Times New Roman" w:hAnsi="Times New Roman"/>
          <w:b w:val="0"/>
          <w:sz w:val="28"/>
          <w:szCs w:val="28"/>
        </w:rPr>
        <w:t>.</w:t>
      </w:r>
    </w:p>
    <w:p w:rsidR="00D925A3" w:rsidRPr="003072A2" w:rsidRDefault="00D925A3" w:rsidP="00F5630A">
      <w:pPr>
        <w:tabs>
          <w:tab w:val="left" w:pos="394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894" w:rsidRDefault="006F6A08" w:rsidP="000B0FEC">
      <w:pPr>
        <w:pStyle w:val="a6"/>
        <w:numPr>
          <w:ilvl w:val="0"/>
          <w:numId w:val="2"/>
        </w:num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08">
        <w:rPr>
          <w:rFonts w:ascii="Times New Roman" w:hAnsi="Times New Roman" w:cs="Times New Roman"/>
          <w:b/>
          <w:sz w:val="28"/>
          <w:szCs w:val="28"/>
        </w:rPr>
        <w:t xml:space="preserve">Программные мероприятия </w:t>
      </w:r>
      <w:r w:rsidR="000B0FEC">
        <w:rPr>
          <w:rFonts w:ascii="Times New Roman" w:hAnsi="Times New Roman" w:cs="Times New Roman"/>
          <w:b/>
          <w:sz w:val="28"/>
          <w:szCs w:val="28"/>
        </w:rPr>
        <w:t>П</w:t>
      </w:r>
      <w:r w:rsidRPr="006F6A0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F6A08" w:rsidRDefault="006F6A08" w:rsidP="006F6A08">
      <w:pPr>
        <w:pStyle w:val="a6"/>
        <w:tabs>
          <w:tab w:val="left" w:pos="3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5387"/>
        <w:gridCol w:w="1275"/>
        <w:gridCol w:w="1276"/>
        <w:gridCol w:w="1134"/>
        <w:gridCol w:w="1135"/>
      </w:tblGrid>
      <w:tr w:rsidR="00A81FE2" w:rsidTr="00A81FE2">
        <w:tc>
          <w:tcPr>
            <w:tcW w:w="5387" w:type="dxa"/>
            <w:vMerge w:val="restart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подпрограммы, источники финансирования</w:t>
            </w:r>
          </w:p>
        </w:tc>
        <w:tc>
          <w:tcPr>
            <w:tcW w:w="4820" w:type="dxa"/>
            <w:gridSpan w:val="4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A81FE2" w:rsidTr="00A81FE2">
        <w:tc>
          <w:tcPr>
            <w:tcW w:w="5387" w:type="dxa"/>
            <w:vMerge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81FE2" w:rsidRPr="00D925A3" w:rsidRDefault="00A81FE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81FE2" w:rsidRPr="00D925A3" w:rsidRDefault="00A81FE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1FE2" w:rsidTr="00A81FE2">
        <w:tc>
          <w:tcPr>
            <w:tcW w:w="10207" w:type="dxa"/>
            <w:gridSpan w:val="5"/>
          </w:tcPr>
          <w:p w:rsidR="00A81FE2" w:rsidRPr="00937EE6" w:rsidRDefault="00A81FE2" w:rsidP="00A81FE2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E6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«Развитие здравоохранения </w:t>
            </w:r>
            <w:proofErr w:type="spellStart"/>
            <w:r w:rsidRPr="00937EE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937E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1 . 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отдельных государственных полномочий по организации оказания медицинской помощи в соответствии с ТПГГ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гражданам медицинской помощи»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Pr="00811AAE" w:rsidRDefault="00811AAE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119 133,6</w:t>
            </w:r>
          </w:p>
        </w:tc>
        <w:tc>
          <w:tcPr>
            <w:tcW w:w="1276" w:type="dxa"/>
          </w:tcPr>
          <w:p w:rsidR="00A81FE2" w:rsidRPr="00811AAE" w:rsidRDefault="00811AAE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845,6</w:t>
            </w:r>
          </w:p>
        </w:tc>
        <w:tc>
          <w:tcPr>
            <w:tcW w:w="1134" w:type="dxa"/>
            <w:vAlign w:val="center"/>
          </w:tcPr>
          <w:p w:rsidR="00A81FE2" w:rsidRPr="00811AAE" w:rsidRDefault="00811AAE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135" w:type="dxa"/>
            <w:vAlign w:val="center"/>
          </w:tcPr>
          <w:p w:rsidR="00A81FE2" w:rsidRPr="00811AAE" w:rsidRDefault="00811AAE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652D7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2 . 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отдельных государственных полномочий по организации оказания медицинской помощи в соответствии с ТПГГ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гражданам медицинской помощи»</w:t>
            </w:r>
          </w:p>
        </w:tc>
        <w:tc>
          <w:tcPr>
            <w:tcW w:w="1275" w:type="dxa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Default="00A81FE2" w:rsidP="00EA0650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Pr="00811AAE" w:rsidRDefault="00811AAE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31 900,0</w:t>
            </w:r>
          </w:p>
        </w:tc>
        <w:tc>
          <w:tcPr>
            <w:tcW w:w="1276" w:type="dxa"/>
          </w:tcPr>
          <w:p w:rsidR="00A81FE2" w:rsidRPr="00811AAE" w:rsidRDefault="00811AAE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81FE2" w:rsidRPr="00811AAE" w:rsidRDefault="00811AAE" w:rsidP="00811AAE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5" w:type="dxa"/>
            <w:vAlign w:val="center"/>
          </w:tcPr>
          <w:p w:rsidR="00A81FE2" w:rsidRPr="00811AAE" w:rsidRDefault="00811AAE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EA0650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3 . 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отдельных государственных полномочий по организации оказания медицинской помощи в соответствии с ТПГГ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гражданам медицинской помощи»</w:t>
            </w:r>
          </w:p>
        </w:tc>
        <w:tc>
          <w:tcPr>
            <w:tcW w:w="1275" w:type="dxa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81FE2" w:rsidRPr="00811AAE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Default="00A81FE2" w:rsidP="00EA0650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Pr="00811AAE" w:rsidRDefault="00811AAE" w:rsidP="002652D7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  <w:tc>
          <w:tcPr>
            <w:tcW w:w="1276" w:type="dxa"/>
          </w:tcPr>
          <w:p w:rsidR="00A81FE2" w:rsidRPr="00811AAE" w:rsidRDefault="00811AAE" w:rsidP="002652D7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1134" w:type="dxa"/>
            <w:vAlign w:val="center"/>
          </w:tcPr>
          <w:p w:rsidR="00A81FE2" w:rsidRPr="00811AAE" w:rsidRDefault="00811AAE" w:rsidP="002652D7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5" w:type="dxa"/>
            <w:vAlign w:val="center"/>
          </w:tcPr>
          <w:p w:rsidR="00A81FE2" w:rsidRPr="00811AAE" w:rsidRDefault="00811AAE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AE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Подпрограмма «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медицинской помощи пострадавшим при дорожно-транспортных происшествиях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Default="00811AAE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6 345,9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2 115,3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2 115,3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Подпрограмма «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льготных лекарственных средств и изделий 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назначения отдельным группам граждан и по категориям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275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544,0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848,0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2 848,0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2 848,0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Подпрограмма «</w:t>
            </w:r>
            <w:r w:rsidRPr="00BA19E3"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граждан, имеющих почетные 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652D7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5E5C0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обеспечение детей, страдающих онкологическими заболеваниями, денежной выплатой</w:t>
            </w:r>
            <w:r w:rsidRPr="005E5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E5C07">
              <w:rPr>
                <w:rFonts w:ascii="Times New Roman" w:hAnsi="Times New Roman" w:cs="Times New Roman"/>
                <w:sz w:val="28"/>
                <w:szCs w:val="28"/>
              </w:rPr>
              <w:t>Подпрограмма «Бесплатное обеспечение лекарственными препаратами детей-сирот и детей, оставшихся без попечения родителей в возрасте до 6 лет, находящихся под опекой, в приемной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рецептам врачей</w:t>
            </w:r>
            <w:r w:rsidRPr="005E5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D925A3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A81FE2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5" w:type="dxa"/>
            <w:vAlign w:val="center"/>
          </w:tcPr>
          <w:p w:rsidR="00A81FE2" w:rsidRPr="00D925A3" w:rsidRDefault="00A81FE2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81FE2" w:rsidTr="00A81FE2">
        <w:tc>
          <w:tcPr>
            <w:tcW w:w="5387" w:type="dxa"/>
            <w:vAlign w:val="center"/>
          </w:tcPr>
          <w:p w:rsidR="00A81FE2" w:rsidRPr="005F16E5" w:rsidRDefault="00A81FE2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5" w:type="dxa"/>
          </w:tcPr>
          <w:p w:rsidR="00A81FE2" w:rsidRPr="00D32BC6" w:rsidRDefault="00D32BC6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166 623,9</w:t>
            </w:r>
          </w:p>
        </w:tc>
        <w:tc>
          <w:tcPr>
            <w:tcW w:w="1276" w:type="dxa"/>
          </w:tcPr>
          <w:p w:rsidR="00A81FE2" w:rsidRPr="00D32BC6" w:rsidRDefault="00D32BC6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C6"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  <w:tc>
          <w:tcPr>
            <w:tcW w:w="1134" w:type="dxa"/>
            <w:vAlign w:val="center"/>
          </w:tcPr>
          <w:p w:rsidR="00A81FE2" w:rsidRPr="00D32BC6" w:rsidRDefault="00D32BC6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C6"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  <w:tc>
          <w:tcPr>
            <w:tcW w:w="1135" w:type="dxa"/>
            <w:vAlign w:val="center"/>
          </w:tcPr>
          <w:p w:rsidR="00A81FE2" w:rsidRPr="00D32BC6" w:rsidRDefault="00D32BC6" w:rsidP="00D925A3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</w:tr>
      <w:tr w:rsidR="00D32BC6" w:rsidTr="00A81FE2">
        <w:tc>
          <w:tcPr>
            <w:tcW w:w="5387" w:type="dxa"/>
            <w:vAlign w:val="center"/>
          </w:tcPr>
          <w:p w:rsidR="00D32BC6" w:rsidRPr="005F16E5" w:rsidRDefault="00D32BC6" w:rsidP="002A6DD1">
            <w:pPr>
              <w:pStyle w:val="a6"/>
              <w:tabs>
                <w:tab w:val="left" w:pos="39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E5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:rsidR="00D32BC6" w:rsidRPr="00D32BC6" w:rsidRDefault="00D32BC6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166 623,9</w:t>
            </w:r>
          </w:p>
        </w:tc>
        <w:tc>
          <w:tcPr>
            <w:tcW w:w="1276" w:type="dxa"/>
          </w:tcPr>
          <w:p w:rsidR="00D32BC6" w:rsidRPr="00D32BC6" w:rsidRDefault="00D32BC6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C6"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  <w:tc>
          <w:tcPr>
            <w:tcW w:w="1134" w:type="dxa"/>
            <w:vAlign w:val="center"/>
          </w:tcPr>
          <w:p w:rsidR="00D32BC6" w:rsidRPr="00D32BC6" w:rsidRDefault="00D32BC6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C6"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  <w:tc>
          <w:tcPr>
            <w:tcW w:w="1135" w:type="dxa"/>
            <w:vAlign w:val="center"/>
          </w:tcPr>
          <w:p w:rsidR="00D32BC6" w:rsidRPr="00D32BC6" w:rsidRDefault="00D32BC6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55 541,3</w:t>
            </w:r>
          </w:p>
        </w:tc>
      </w:tr>
    </w:tbl>
    <w:p w:rsidR="00DD7A75" w:rsidRPr="00DD7A75" w:rsidRDefault="00DD7A75" w:rsidP="00DD7A75">
      <w:pPr>
        <w:tabs>
          <w:tab w:val="left" w:pos="394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FF" w:rsidRPr="006C11F6" w:rsidRDefault="000B0FEC" w:rsidP="006C11F6">
      <w:pPr>
        <w:pStyle w:val="a6"/>
        <w:numPr>
          <w:ilvl w:val="0"/>
          <w:numId w:val="2"/>
        </w:num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F6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0B0FEC" w:rsidRDefault="000B0FEC" w:rsidP="00EB29F0">
      <w:pPr>
        <w:tabs>
          <w:tab w:val="left" w:pos="3945"/>
        </w:tabs>
        <w:spacing w:after="0"/>
        <w:ind w:firstLine="709"/>
        <w:jc w:val="both"/>
      </w:pPr>
      <w:r w:rsidRPr="000B0FEC">
        <w:rPr>
          <w:rFonts w:ascii="Times New Roman" w:hAnsi="Times New Roman" w:cs="Times New Roman"/>
          <w:sz w:val="28"/>
          <w:szCs w:val="28"/>
        </w:rPr>
        <w:t>Ответственным за реализацию Программы является</w:t>
      </w:r>
      <w:r w:rsidR="00E30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t>.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22">
        <w:rPr>
          <w:rFonts w:ascii="Times New Roman" w:hAnsi="Times New Roman" w:cs="Times New Roman"/>
          <w:sz w:val="28"/>
          <w:szCs w:val="28"/>
        </w:rPr>
        <w:t>Заказчик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6122">
        <w:rPr>
          <w:rFonts w:ascii="Times New Roman" w:hAnsi="Times New Roman" w:cs="Times New Roman"/>
          <w:sz w:val="28"/>
          <w:szCs w:val="28"/>
        </w:rPr>
        <w:t>граммы: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оперативное руководство и координацию деятельности мероприятий Программы;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деятельность исполнителей мероприятий Программы по своевременному выполнению мероприятий Программы;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выполнение мероприятий Программы;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департамент охраны здоровья населения Кемеровской области информацию о ходе мероприятий Программы за счет средств областного бюджета.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заказчику Программы информацию и отчетность о ходе исполнения мероприятий Программы.</w:t>
      </w:r>
    </w:p>
    <w:p w:rsidR="00D46122" w:rsidRDefault="00D4612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EB29F0">
      <w:pPr>
        <w:tabs>
          <w:tab w:val="left" w:pos="3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F3" w:rsidRPr="006C11F6" w:rsidRDefault="000B0FEC" w:rsidP="006C11F6">
      <w:pPr>
        <w:pStyle w:val="a6"/>
        <w:numPr>
          <w:ilvl w:val="0"/>
          <w:numId w:val="2"/>
        </w:num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F6"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D30479">
        <w:rPr>
          <w:rFonts w:ascii="Times New Roman" w:hAnsi="Times New Roman" w:cs="Times New Roman"/>
          <w:b/>
          <w:sz w:val="28"/>
          <w:szCs w:val="28"/>
        </w:rPr>
        <w:t>ффективность</w:t>
      </w:r>
      <w:r w:rsidR="00E142F3" w:rsidRPr="006C11F6">
        <w:rPr>
          <w:rFonts w:ascii="Times New Roman" w:hAnsi="Times New Roman" w:cs="Times New Roman"/>
          <w:b/>
          <w:sz w:val="28"/>
          <w:szCs w:val="28"/>
        </w:rPr>
        <w:t xml:space="preserve"> реализации  </w:t>
      </w:r>
      <w:r w:rsidRPr="006C11F6">
        <w:rPr>
          <w:rFonts w:ascii="Times New Roman" w:hAnsi="Times New Roman" w:cs="Times New Roman"/>
          <w:b/>
          <w:sz w:val="28"/>
          <w:szCs w:val="28"/>
        </w:rPr>
        <w:t>П</w:t>
      </w:r>
      <w:r w:rsidR="00994E4E" w:rsidRPr="006C11F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7070E" w:rsidRDefault="0017070E" w:rsidP="00994E4E">
      <w:pPr>
        <w:pStyle w:val="a6"/>
        <w:tabs>
          <w:tab w:val="left" w:pos="3945"/>
        </w:tabs>
        <w:spacing w:after="0"/>
        <w:ind w:left="0" w:firstLine="680"/>
      </w:pPr>
    </w:p>
    <w:p w:rsidR="00DD7A75" w:rsidRDefault="0017070E" w:rsidP="00DD7A75">
      <w:pPr>
        <w:pStyle w:val="a6"/>
        <w:tabs>
          <w:tab w:val="left" w:pos="3945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70E">
        <w:rPr>
          <w:rFonts w:ascii="Times New Roman" w:hAnsi="Times New Roman" w:cs="Times New Roman"/>
          <w:sz w:val="28"/>
          <w:szCs w:val="28"/>
        </w:rPr>
        <w:t>В ходе реализации Программы предстоит выполнить комплекс мероприятий, направленных на формирование здорового образа жизни и обеспечение профилактики заболеваний населения города.</w:t>
      </w:r>
    </w:p>
    <w:p w:rsidR="00DD7A75" w:rsidRDefault="0017070E" w:rsidP="00DD7A75">
      <w:pPr>
        <w:pStyle w:val="a6"/>
        <w:tabs>
          <w:tab w:val="left" w:pos="3945"/>
        </w:tabs>
        <w:spacing w:after="0"/>
        <w:ind w:left="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7070E">
        <w:rPr>
          <w:rFonts w:ascii="Times New Roman" w:hAnsi="Times New Roman" w:cs="Times New Roman"/>
          <w:sz w:val="28"/>
          <w:szCs w:val="28"/>
        </w:rPr>
        <w:br/>
      </w:r>
      <w:r w:rsidR="00DD7A75">
        <w:rPr>
          <w:rFonts w:ascii="Times New Roman" w:hAnsi="Times New Roman" w:cs="Times New Roman"/>
          <w:sz w:val="28"/>
          <w:szCs w:val="28"/>
        </w:rPr>
        <w:t>Сведения  о планируемых значениях целевых показателей (индикаторов) программы</w:t>
      </w: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4112"/>
        <w:gridCol w:w="1842"/>
        <w:gridCol w:w="1417"/>
        <w:gridCol w:w="1276"/>
        <w:gridCol w:w="1276"/>
      </w:tblGrid>
      <w:tr w:rsidR="00034C32" w:rsidRPr="00D925A3" w:rsidTr="00BD3971">
        <w:tc>
          <w:tcPr>
            <w:tcW w:w="4112" w:type="dxa"/>
            <w:vMerge w:val="restart"/>
            <w:vAlign w:val="center"/>
          </w:tcPr>
          <w:p w:rsidR="00034C32" w:rsidRPr="00D925A3" w:rsidRDefault="00034C32" w:rsidP="00DD7A7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показателя (индикатора)</w:t>
            </w:r>
          </w:p>
        </w:tc>
        <w:tc>
          <w:tcPr>
            <w:tcW w:w="1842" w:type="dxa"/>
            <w:vMerge w:val="restart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34C32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34C32" w:rsidRPr="00D925A3" w:rsidTr="00BD3971">
        <w:tc>
          <w:tcPr>
            <w:tcW w:w="4112" w:type="dxa"/>
            <w:vMerge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034C32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034C32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2652D7">
            <w:pPr>
              <w:pStyle w:val="a6"/>
              <w:tabs>
                <w:tab w:val="left" w:pos="3945"/>
              </w:tabs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34C32" w:rsidRDefault="00034C32" w:rsidP="002652D7">
            <w:pPr>
              <w:pStyle w:val="a6"/>
              <w:tabs>
                <w:tab w:val="left" w:pos="3945"/>
              </w:tabs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34C32" w:rsidRDefault="00034C32" w:rsidP="002652D7">
            <w:pPr>
              <w:pStyle w:val="a6"/>
              <w:tabs>
                <w:tab w:val="left" w:pos="3945"/>
              </w:tabs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Pr="00D925A3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отдельных государственных полномочий по организации оказания медицинской помощи в соответствии с ТПГГ оказания гражданам медицинской помощи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Койко-дней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14741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14741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14741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отдельных государственных полномочий по организации оказания медицинской помощи в соответствии с ТПГГ оказания гражданам медицинской помощи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26683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26683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26683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отдельных государственных полномочий по организации оказания медицинской помощи в соответствии с ТПГГ оказания гражданам медицинской помощи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Койко-дней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  <w:p w:rsidR="00FA0536" w:rsidRPr="00FA0536" w:rsidRDefault="00FA0536" w:rsidP="00FA0536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Pr="00D925A3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льготных лекарственных средств и изделий медицинского назначения отдельным группам граждан и по категориям заболеваний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Pr="00D925A3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граждан, имеющих почетные звания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4C32" w:rsidRPr="00D925A3" w:rsidTr="00BD3971">
        <w:trPr>
          <w:trHeight w:val="1335"/>
        </w:trPr>
        <w:tc>
          <w:tcPr>
            <w:tcW w:w="4112" w:type="dxa"/>
            <w:vAlign w:val="center"/>
          </w:tcPr>
          <w:p w:rsidR="00034C32" w:rsidRPr="00D925A3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обеспечение детей, страдающих онкологическими заболеваниями, денежной выплатой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4C32" w:rsidRPr="00D925A3" w:rsidTr="00BD3971">
        <w:tc>
          <w:tcPr>
            <w:tcW w:w="4112" w:type="dxa"/>
            <w:vAlign w:val="center"/>
          </w:tcPr>
          <w:p w:rsidR="00034C32" w:rsidRPr="00D925A3" w:rsidRDefault="00034C32" w:rsidP="00DD7A75">
            <w:pPr>
              <w:pStyle w:val="a6"/>
              <w:numPr>
                <w:ilvl w:val="0"/>
                <w:numId w:val="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 обеспечение лекарственными препаратами детей-сирот и детей, оставшихся без попечения родителей в возрасте до 6 лет, находящихся под опекой, в приемной семье, по рецептам врачей</w:t>
            </w:r>
          </w:p>
        </w:tc>
        <w:tc>
          <w:tcPr>
            <w:tcW w:w="1842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:rsidR="00034C32" w:rsidRPr="00D925A3" w:rsidRDefault="00034C32" w:rsidP="00EA0650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34C32" w:rsidRPr="00D925A3" w:rsidRDefault="00034C32" w:rsidP="00E401A5">
            <w:pPr>
              <w:pStyle w:val="a6"/>
              <w:tabs>
                <w:tab w:val="left" w:pos="394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0536" w:rsidRDefault="00FA0536" w:rsidP="0017070E">
      <w:pPr>
        <w:pStyle w:val="a6"/>
        <w:tabs>
          <w:tab w:val="left" w:pos="3945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070E" w:rsidRPr="0017070E" w:rsidRDefault="0017070E" w:rsidP="0017070E">
      <w:pPr>
        <w:pStyle w:val="a6"/>
        <w:tabs>
          <w:tab w:val="left" w:pos="3945"/>
        </w:tabs>
        <w:spacing w:after="0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0E">
        <w:rPr>
          <w:rFonts w:ascii="Times New Roman" w:hAnsi="Times New Roman" w:cs="Times New Roman"/>
          <w:sz w:val="28"/>
          <w:szCs w:val="28"/>
        </w:rPr>
        <w:t xml:space="preserve">Планомерная реализация мероприятий Программы позволит сформировать широкое общественное мнение о необходимости ведения здорового образа жизни, стабилизировать и снизить заболеваемость, смертность от управляемых причин, стабилизировать и увеличить ожидаемую продолжительность жизни населения, повысить </w:t>
      </w:r>
      <w:proofErr w:type="spellStart"/>
      <w:r w:rsidRPr="0017070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17070E">
        <w:rPr>
          <w:rFonts w:ascii="Times New Roman" w:hAnsi="Times New Roman" w:cs="Times New Roman"/>
          <w:sz w:val="28"/>
          <w:szCs w:val="28"/>
        </w:rPr>
        <w:t xml:space="preserve"> стратегических решений в сфере общественного здоровья.</w:t>
      </w:r>
    </w:p>
    <w:p w:rsidR="00333014" w:rsidRDefault="00333014" w:rsidP="00E06CB6">
      <w:pPr>
        <w:pStyle w:val="a6"/>
        <w:tabs>
          <w:tab w:val="left" w:pos="3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3C7" w:rsidRDefault="00994E4E" w:rsidP="006C11F6">
      <w:pPr>
        <w:pStyle w:val="a6"/>
        <w:numPr>
          <w:ilvl w:val="0"/>
          <w:numId w:val="2"/>
        </w:num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  <w:r w:rsidR="0097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FE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F16E5" w:rsidRDefault="005F16E5" w:rsidP="009E36C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F16E5" w:rsidRDefault="005F16E5" w:rsidP="005F16E5">
      <w:pPr>
        <w:pStyle w:val="a6"/>
        <w:tabs>
          <w:tab w:val="left" w:pos="3945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за счет средств  областного бюджета на выполнение муниципального задания.</w:t>
      </w:r>
    </w:p>
    <w:p w:rsidR="005F16E5" w:rsidRDefault="009E36C2" w:rsidP="005F16E5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36C2">
        <w:rPr>
          <w:sz w:val="28"/>
          <w:szCs w:val="28"/>
        </w:rPr>
        <w:t xml:space="preserve">Субсидии </w:t>
      </w:r>
      <w:r w:rsidR="00F85ED1">
        <w:rPr>
          <w:sz w:val="28"/>
          <w:szCs w:val="28"/>
        </w:rPr>
        <w:t>МБУЗ «</w:t>
      </w:r>
      <w:proofErr w:type="spellStart"/>
      <w:r w:rsidR="00F85ED1">
        <w:rPr>
          <w:sz w:val="28"/>
          <w:szCs w:val="28"/>
        </w:rPr>
        <w:t>Таштагольская</w:t>
      </w:r>
      <w:proofErr w:type="spellEnd"/>
      <w:r w:rsidR="00F85ED1">
        <w:rPr>
          <w:sz w:val="28"/>
          <w:szCs w:val="28"/>
        </w:rPr>
        <w:t xml:space="preserve"> ЦРБ»</w:t>
      </w:r>
      <w:r w:rsidRPr="009E36C2">
        <w:rPr>
          <w:sz w:val="28"/>
          <w:szCs w:val="28"/>
        </w:rPr>
        <w:t xml:space="preserve"> на выполнение </w:t>
      </w:r>
      <w:r w:rsidR="00F978F1">
        <w:rPr>
          <w:sz w:val="28"/>
          <w:szCs w:val="28"/>
        </w:rPr>
        <w:t>муниципального</w:t>
      </w:r>
      <w:r w:rsidRPr="009E36C2">
        <w:rPr>
          <w:sz w:val="28"/>
          <w:szCs w:val="28"/>
        </w:rPr>
        <w:t xml:space="preserve"> задания предоставляются на основании </w:t>
      </w:r>
      <w:proofErr w:type="spellStart"/>
      <w:r w:rsidR="005F16E5" w:rsidRPr="005F16E5">
        <w:rPr>
          <w:color w:val="000000" w:themeColor="text1"/>
          <w:sz w:val="28"/>
          <w:szCs w:val="28"/>
        </w:rPr>
        <w:t>соглашениямежду</w:t>
      </w:r>
      <w:proofErr w:type="spellEnd"/>
      <w:r w:rsidR="005F16E5" w:rsidRPr="005F16E5">
        <w:rPr>
          <w:color w:val="000000" w:themeColor="text1"/>
          <w:sz w:val="28"/>
          <w:szCs w:val="28"/>
        </w:rPr>
        <w:t xml:space="preserve"> Администрацией муниципального образования «</w:t>
      </w:r>
      <w:proofErr w:type="spellStart"/>
      <w:r w:rsidR="005F16E5" w:rsidRPr="005F16E5">
        <w:rPr>
          <w:color w:val="000000" w:themeColor="text1"/>
          <w:sz w:val="28"/>
          <w:szCs w:val="28"/>
        </w:rPr>
        <w:t>Таштагольский</w:t>
      </w:r>
      <w:proofErr w:type="spellEnd"/>
      <w:r w:rsidR="005F16E5" w:rsidRPr="005F16E5">
        <w:rPr>
          <w:color w:val="000000" w:themeColor="text1"/>
          <w:sz w:val="28"/>
          <w:szCs w:val="28"/>
        </w:rPr>
        <w:t xml:space="preserve"> муниципальный район» и муниципальным бюджетным учреждением здравоохранения «</w:t>
      </w:r>
      <w:proofErr w:type="spellStart"/>
      <w:r w:rsidR="005F16E5" w:rsidRPr="005F16E5">
        <w:rPr>
          <w:color w:val="000000" w:themeColor="text1"/>
          <w:sz w:val="28"/>
          <w:szCs w:val="28"/>
        </w:rPr>
        <w:t>Таштагольская</w:t>
      </w:r>
      <w:proofErr w:type="spellEnd"/>
      <w:r w:rsidR="005F16E5" w:rsidRPr="005F16E5">
        <w:rPr>
          <w:color w:val="000000" w:themeColor="text1"/>
          <w:sz w:val="28"/>
          <w:szCs w:val="28"/>
        </w:rPr>
        <w:t xml:space="preserve"> Центральная районная больница» о порядке и условиях предоставления субсидии на возмещение нормативных </w:t>
      </w:r>
      <w:r w:rsidR="005F16E5" w:rsidRPr="005F16E5">
        <w:rPr>
          <w:color w:val="000000" w:themeColor="text1"/>
          <w:sz w:val="28"/>
          <w:szCs w:val="28"/>
        </w:rPr>
        <w:lastRenderedPageBreak/>
        <w:t>затрат на оказание муниципальных услуг</w:t>
      </w:r>
      <w:r w:rsidR="005F16E5">
        <w:rPr>
          <w:color w:val="000000" w:themeColor="text1"/>
          <w:sz w:val="28"/>
          <w:szCs w:val="28"/>
        </w:rPr>
        <w:t xml:space="preserve">. </w:t>
      </w:r>
      <w:r w:rsidR="005F16E5" w:rsidRPr="009E36C2">
        <w:rPr>
          <w:sz w:val="28"/>
          <w:szCs w:val="28"/>
        </w:rPr>
        <w:t xml:space="preserve">Потребность на финансовое обеспечение выполнения </w:t>
      </w:r>
      <w:r w:rsidR="005F16E5">
        <w:rPr>
          <w:sz w:val="28"/>
          <w:szCs w:val="28"/>
        </w:rPr>
        <w:t>муниципального</w:t>
      </w:r>
      <w:r w:rsidR="005F16E5" w:rsidRPr="009E36C2">
        <w:rPr>
          <w:sz w:val="28"/>
          <w:szCs w:val="28"/>
        </w:rPr>
        <w:t xml:space="preserve"> задания рассчитана на основании нормативных затрат на оказание </w:t>
      </w:r>
      <w:r w:rsidR="005F16E5">
        <w:rPr>
          <w:sz w:val="28"/>
          <w:szCs w:val="28"/>
        </w:rPr>
        <w:t>муниципальных</w:t>
      </w:r>
      <w:r w:rsidR="005F16E5" w:rsidRPr="009E36C2">
        <w:rPr>
          <w:sz w:val="28"/>
          <w:szCs w:val="28"/>
        </w:rPr>
        <w:t xml:space="preserve"> услуг, а также расходов по оплате труда персонала, содержанию зданий, оплаты коммунальных услуг, приобретение оборудования и расходных материалов и др</w:t>
      </w:r>
      <w:r w:rsidR="008C13A2">
        <w:rPr>
          <w:sz w:val="28"/>
          <w:szCs w:val="28"/>
        </w:rPr>
        <w:t>угое</w:t>
      </w:r>
      <w:r w:rsidR="005F16E5" w:rsidRPr="009E36C2">
        <w:rPr>
          <w:sz w:val="28"/>
          <w:szCs w:val="28"/>
        </w:rPr>
        <w:t>.</w:t>
      </w:r>
    </w:p>
    <w:p w:rsidR="009E36C2" w:rsidRPr="009E36C2" w:rsidRDefault="009E36C2" w:rsidP="004F73C7">
      <w:pPr>
        <w:pStyle w:val="a6"/>
        <w:tabs>
          <w:tab w:val="left" w:pos="3945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E36C2" w:rsidRPr="009E36C2" w:rsidSect="0046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C1" w:rsidRDefault="00CC2AC1" w:rsidP="008C25A6">
      <w:pPr>
        <w:spacing w:after="0" w:line="240" w:lineRule="auto"/>
      </w:pPr>
      <w:r>
        <w:separator/>
      </w:r>
    </w:p>
  </w:endnote>
  <w:endnote w:type="continuationSeparator" w:id="0">
    <w:p w:rsidR="00CC2AC1" w:rsidRDefault="00CC2AC1" w:rsidP="008C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CB" w:rsidRDefault="008D60C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5469"/>
      <w:docPartObj>
        <w:docPartGallery w:val="Page Numbers (Bottom of Page)"/>
        <w:docPartUnique/>
      </w:docPartObj>
    </w:sdtPr>
    <w:sdtContent>
      <w:p w:rsidR="008D60CB" w:rsidRDefault="003143C4">
        <w:pPr>
          <w:pStyle w:val="ab"/>
          <w:jc w:val="center"/>
        </w:pPr>
        <w:fldSimple w:instr=" PAGE   \* MERGEFORMAT ">
          <w:r w:rsidR="00D86A83">
            <w:rPr>
              <w:noProof/>
            </w:rPr>
            <w:t>1</w:t>
          </w:r>
        </w:fldSimple>
      </w:p>
    </w:sdtContent>
  </w:sdt>
  <w:p w:rsidR="008D60CB" w:rsidRDefault="008D60C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CB" w:rsidRDefault="008D60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C1" w:rsidRDefault="00CC2AC1" w:rsidP="008C25A6">
      <w:pPr>
        <w:spacing w:after="0" w:line="240" w:lineRule="auto"/>
      </w:pPr>
      <w:r>
        <w:separator/>
      </w:r>
    </w:p>
  </w:footnote>
  <w:footnote w:type="continuationSeparator" w:id="0">
    <w:p w:rsidR="00CC2AC1" w:rsidRDefault="00CC2AC1" w:rsidP="008C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CB" w:rsidRDefault="008D60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CB" w:rsidRDefault="008D60C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CB" w:rsidRDefault="008D60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6B"/>
    <w:multiLevelType w:val="hybridMultilevel"/>
    <w:tmpl w:val="140C5042"/>
    <w:lvl w:ilvl="0" w:tplc="4344DC3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26C4"/>
    <w:multiLevelType w:val="hybridMultilevel"/>
    <w:tmpl w:val="8266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BA0"/>
    <w:multiLevelType w:val="hybridMultilevel"/>
    <w:tmpl w:val="46DA9134"/>
    <w:lvl w:ilvl="0" w:tplc="DDDA77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B1DAC"/>
    <w:multiLevelType w:val="hybridMultilevel"/>
    <w:tmpl w:val="81285E04"/>
    <w:lvl w:ilvl="0" w:tplc="70FAC782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HAnsi" w:hAnsiTheme="minorHAnsi" w:cstheme="minorBidi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E07A37"/>
    <w:multiLevelType w:val="hybridMultilevel"/>
    <w:tmpl w:val="CB8C6E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29AB"/>
    <w:multiLevelType w:val="hybridMultilevel"/>
    <w:tmpl w:val="D71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0674"/>
    <w:multiLevelType w:val="hybridMultilevel"/>
    <w:tmpl w:val="76D4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2825"/>
    <w:multiLevelType w:val="hybridMultilevel"/>
    <w:tmpl w:val="8266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836E4"/>
    <w:multiLevelType w:val="hybridMultilevel"/>
    <w:tmpl w:val="83AC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52D"/>
    <w:rsid w:val="00000853"/>
    <w:rsid w:val="00027717"/>
    <w:rsid w:val="00034C32"/>
    <w:rsid w:val="0009027E"/>
    <w:rsid w:val="000B0FEC"/>
    <w:rsid w:val="000B2C7F"/>
    <w:rsid w:val="000C1CEE"/>
    <w:rsid w:val="000D37D5"/>
    <w:rsid w:val="000E0A38"/>
    <w:rsid w:val="000E4ECF"/>
    <w:rsid w:val="00132672"/>
    <w:rsid w:val="001353C7"/>
    <w:rsid w:val="001507AB"/>
    <w:rsid w:val="00152951"/>
    <w:rsid w:val="00154402"/>
    <w:rsid w:val="0015573C"/>
    <w:rsid w:val="001573E5"/>
    <w:rsid w:val="00160E13"/>
    <w:rsid w:val="00162566"/>
    <w:rsid w:val="0017070E"/>
    <w:rsid w:val="0017777A"/>
    <w:rsid w:val="001A7E8E"/>
    <w:rsid w:val="001C5B1D"/>
    <w:rsid w:val="001F2012"/>
    <w:rsid w:val="00263263"/>
    <w:rsid w:val="002652D7"/>
    <w:rsid w:val="00291DA6"/>
    <w:rsid w:val="002A6DD1"/>
    <w:rsid w:val="002D2299"/>
    <w:rsid w:val="002D32BC"/>
    <w:rsid w:val="002F2B14"/>
    <w:rsid w:val="002F650C"/>
    <w:rsid w:val="003018A9"/>
    <w:rsid w:val="003072A2"/>
    <w:rsid w:val="003143C4"/>
    <w:rsid w:val="00333014"/>
    <w:rsid w:val="00366AF1"/>
    <w:rsid w:val="00373C4F"/>
    <w:rsid w:val="0039652D"/>
    <w:rsid w:val="003A6EC1"/>
    <w:rsid w:val="003B573F"/>
    <w:rsid w:val="003D381B"/>
    <w:rsid w:val="003D5AEE"/>
    <w:rsid w:val="003D7B18"/>
    <w:rsid w:val="003E2FDF"/>
    <w:rsid w:val="003E3552"/>
    <w:rsid w:val="003F1B3F"/>
    <w:rsid w:val="003F4DF1"/>
    <w:rsid w:val="003F606D"/>
    <w:rsid w:val="00401EEF"/>
    <w:rsid w:val="004234F3"/>
    <w:rsid w:val="00430E8E"/>
    <w:rsid w:val="004372E5"/>
    <w:rsid w:val="00442ACC"/>
    <w:rsid w:val="00445727"/>
    <w:rsid w:val="0045370D"/>
    <w:rsid w:val="00460322"/>
    <w:rsid w:val="004652B4"/>
    <w:rsid w:val="00483A5A"/>
    <w:rsid w:val="004953B2"/>
    <w:rsid w:val="004A40D3"/>
    <w:rsid w:val="004D0FA8"/>
    <w:rsid w:val="004D5A92"/>
    <w:rsid w:val="004E26AA"/>
    <w:rsid w:val="004F73C7"/>
    <w:rsid w:val="00520B73"/>
    <w:rsid w:val="00552809"/>
    <w:rsid w:val="00555B4F"/>
    <w:rsid w:val="00556420"/>
    <w:rsid w:val="00556F7E"/>
    <w:rsid w:val="00561EAE"/>
    <w:rsid w:val="005C2E17"/>
    <w:rsid w:val="005D244F"/>
    <w:rsid w:val="005E5C07"/>
    <w:rsid w:val="005F16E5"/>
    <w:rsid w:val="005F3574"/>
    <w:rsid w:val="00601CCB"/>
    <w:rsid w:val="006051A3"/>
    <w:rsid w:val="00607E79"/>
    <w:rsid w:val="006161F9"/>
    <w:rsid w:val="00623633"/>
    <w:rsid w:val="00634110"/>
    <w:rsid w:val="00640267"/>
    <w:rsid w:val="00663AC7"/>
    <w:rsid w:val="0067076F"/>
    <w:rsid w:val="00671A07"/>
    <w:rsid w:val="00683B1B"/>
    <w:rsid w:val="00687EA8"/>
    <w:rsid w:val="00690059"/>
    <w:rsid w:val="00691C61"/>
    <w:rsid w:val="006C11F6"/>
    <w:rsid w:val="006D1FC0"/>
    <w:rsid w:val="006D3B7D"/>
    <w:rsid w:val="006F416A"/>
    <w:rsid w:val="006F6A08"/>
    <w:rsid w:val="007060C2"/>
    <w:rsid w:val="00711871"/>
    <w:rsid w:val="00713E47"/>
    <w:rsid w:val="00727BC8"/>
    <w:rsid w:val="00736149"/>
    <w:rsid w:val="007C1BE7"/>
    <w:rsid w:val="007D6F7B"/>
    <w:rsid w:val="00811AAE"/>
    <w:rsid w:val="00813AFF"/>
    <w:rsid w:val="0083364E"/>
    <w:rsid w:val="00843ACE"/>
    <w:rsid w:val="00855DCB"/>
    <w:rsid w:val="00860377"/>
    <w:rsid w:val="00867BE1"/>
    <w:rsid w:val="0089035B"/>
    <w:rsid w:val="00892766"/>
    <w:rsid w:val="008C13A2"/>
    <w:rsid w:val="008C25A6"/>
    <w:rsid w:val="008D60CB"/>
    <w:rsid w:val="0090768D"/>
    <w:rsid w:val="0091000E"/>
    <w:rsid w:val="00924F64"/>
    <w:rsid w:val="009255D0"/>
    <w:rsid w:val="00933739"/>
    <w:rsid w:val="00937EE6"/>
    <w:rsid w:val="0094724D"/>
    <w:rsid w:val="0096432D"/>
    <w:rsid w:val="0097031A"/>
    <w:rsid w:val="00994E4E"/>
    <w:rsid w:val="009C190B"/>
    <w:rsid w:val="009E36C2"/>
    <w:rsid w:val="00A0189A"/>
    <w:rsid w:val="00A175AE"/>
    <w:rsid w:val="00A226E3"/>
    <w:rsid w:val="00A50DE6"/>
    <w:rsid w:val="00A81FE2"/>
    <w:rsid w:val="00A90559"/>
    <w:rsid w:val="00AA6556"/>
    <w:rsid w:val="00AA7554"/>
    <w:rsid w:val="00AB14DD"/>
    <w:rsid w:val="00AE51A0"/>
    <w:rsid w:val="00AF699D"/>
    <w:rsid w:val="00B0304D"/>
    <w:rsid w:val="00B379E4"/>
    <w:rsid w:val="00B47406"/>
    <w:rsid w:val="00B511D8"/>
    <w:rsid w:val="00B63C3E"/>
    <w:rsid w:val="00B64DAB"/>
    <w:rsid w:val="00B73309"/>
    <w:rsid w:val="00B85271"/>
    <w:rsid w:val="00B87B97"/>
    <w:rsid w:val="00BA19E3"/>
    <w:rsid w:val="00BA385D"/>
    <w:rsid w:val="00BB67B3"/>
    <w:rsid w:val="00BC252D"/>
    <w:rsid w:val="00BC7416"/>
    <w:rsid w:val="00BD1D7C"/>
    <w:rsid w:val="00BD3971"/>
    <w:rsid w:val="00BD7F4D"/>
    <w:rsid w:val="00BE6808"/>
    <w:rsid w:val="00C03568"/>
    <w:rsid w:val="00C04E81"/>
    <w:rsid w:val="00C27682"/>
    <w:rsid w:val="00C53269"/>
    <w:rsid w:val="00C67718"/>
    <w:rsid w:val="00C84B5E"/>
    <w:rsid w:val="00C93FB3"/>
    <w:rsid w:val="00C96894"/>
    <w:rsid w:val="00CA5FC6"/>
    <w:rsid w:val="00CC2AC1"/>
    <w:rsid w:val="00D13ACC"/>
    <w:rsid w:val="00D22D5B"/>
    <w:rsid w:val="00D30479"/>
    <w:rsid w:val="00D32BC6"/>
    <w:rsid w:val="00D37A56"/>
    <w:rsid w:val="00D46122"/>
    <w:rsid w:val="00D516E1"/>
    <w:rsid w:val="00D71BC5"/>
    <w:rsid w:val="00D86A83"/>
    <w:rsid w:val="00D925A3"/>
    <w:rsid w:val="00D93C55"/>
    <w:rsid w:val="00DB2C93"/>
    <w:rsid w:val="00DB63AF"/>
    <w:rsid w:val="00DB7BC4"/>
    <w:rsid w:val="00DC09EC"/>
    <w:rsid w:val="00DD7A75"/>
    <w:rsid w:val="00E06CB6"/>
    <w:rsid w:val="00E142F3"/>
    <w:rsid w:val="00E2476D"/>
    <w:rsid w:val="00E26524"/>
    <w:rsid w:val="00E30F72"/>
    <w:rsid w:val="00E35D64"/>
    <w:rsid w:val="00E6036F"/>
    <w:rsid w:val="00E665F7"/>
    <w:rsid w:val="00E81805"/>
    <w:rsid w:val="00EA0650"/>
    <w:rsid w:val="00EA6912"/>
    <w:rsid w:val="00EB29F0"/>
    <w:rsid w:val="00EC16D0"/>
    <w:rsid w:val="00EC4D55"/>
    <w:rsid w:val="00F11CA5"/>
    <w:rsid w:val="00F35BC2"/>
    <w:rsid w:val="00F378E2"/>
    <w:rsid w:val="00F463A1"/>
    <w:rsid w:val="00F5630A"/>
    <w:rsid w:val="00F61782"/>
    <w:rsid w:val="00F839B9"/>
    <w:rsid w:val="00F85ED1"/>
    <w:rsid w:val="00F978F1"/>
    <w:rsid w:val="00FA0536"/>
    <w:rsid w:val="00FC01B4"/>
    <w:rsid w:val="00FC7C37"/>
    <w:rsid w:val="00FD1323"/>
    <w:rsid w:val="00FD4009"/>
    <w:rsid w:val="00FE039E"/>
    <w:rsid w:val="00FE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0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556"/>
    <w:pPr>
      <w:ind w:left="720"/>
      <w:contextualSpacing/>
    </w:pPr>
  </w:style>
  <w:style w:type="character" w:styleId="a7">
    <w:name w:val="Strong"/>
    <w:qFormat/>
    <w:rsid w:val="00333014"/>
    <w:rPr>
      <w:rFonts w:cs="Times New Roman"/>
      <w:b/>
      <w:bCs/>
    </w:rPr>
  </w:style>
  <w:style w:type="paragraph" w:customStyle="1" w:styleId="Style2">
    <w:name w:val="Style2"/>
    <w:basedOn w:val="a"/>
    <w:rsid w:val="00333014"/>
    <w:pPr>
      <w:widowControl w:val="0"/>
      <w:autoSpaceDE w:val="0"/>
      <w:autoSpaceDN w:val="0"/>
      <w:adjustRightInd w:val="0"/>
      <w:spacing w:after="0" w:line="239" w:lineRule="exact"/>
      <w:ind w:firstLine="680"/>
      <w:jc w:val="both"/>
    </w:pPr>
    <w:rPr>
      <w:rFonts w:ascii="MS Reference Sans Serif" w:eastAsia="Calibri" w:hAnsi="MS Reference Sans Serif" w:cs="Times New Roman"/>
      <w:sz w:val="24"/>
      <w:szCs w:val="24"/>
    </w:rPr>
  </w:style>
  <w:style w:type="paragraph" w:styleId="3">
    <w:name w:val="Body Text Indent 3"/>
    <w:aliases w:val=" Знак2"/>
    <w:basedOn w:val="a"/>
    <w:link w:val="30"/>
    <w:rsid w:val="00027717"/>
    <w:pPr>
      <w:spacing w:after="120" w:line="240" w:lineRule="auto"/>
      <w:ind w:left="283" w:firstLine="680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aliases w:val=" Знак2 Знак"/>
    <w:basedOn w:val="a0"/>
    <w:link w:val="3"/>
    <w:rsid w:val="00027717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formattext"/>
    <w:basedOn w:val="a"/>
    <w:rsid w:val="009E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E36C2"/>
    <w:rPr>
      <w:color w:val="0000FF"/>
      <w:u w:val="single"/>
    </w:rPr>
  </w:style>
  <w:style w:type="paragraph" w:customStyle="1" w:styleId="ConsPlusNormal">
    <w:name w:val="ConsPlusNormal"/>
    <w:rsid w:val="00445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5A6"/>
  </w:style>
  <w:style w:type="paragraph" w:styleId="ab">
    <w:name w:val="footer"/>
    <w:basedOn w:val="a"/>
    <w:link w:val="ac"/>
    <w:uiPriority w:val="99"/>
    <w:unhideWhenUsed/>
    <w:rsid w:val="008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5A6"/>
  </w:style>
  <w:style w:type="paragraph" w:styleId="ad">
    <w:name w:val="Normal (Web)"/>
    <w:basedOn w:val="a"/>
    <w:uiPriority w:val="99"/>
    <w:unhideWhenUsed/>
    <w:rsid w:val="0093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460322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6032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5736-5257-4B87-AB19-2751C891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Luda</cp:lastModifiedBy>
  <cp:revision>2</cp:revision>
  <cp:lastPrinted>2016-10-24T09:13:00Z</cp:lastPrinted>
  <dcterms:created xsi:type="dcterms:W3CDTF">2016-11-11T05:12:00Z</dcterms:created>
  <dcterms:modified xsi:type="dcterms:W3CDTF">2016-11-11T05:12:00Z</dcterms:modified>
</cp:coreProperties>
</file>