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0E70">
        <w:rPr>
          <w:rFonts w:ascii="Times New Roman" w:hAnsi="Times New Roman" w:cs="Times New Roman"/>
          <w:sz w:val="28"/>
          <w:szCs w:val="28"/>
        </w:rPr>
        <w:t>о</w:t>
      </w:r>
      <w:r w:rsidR="00F45F6B">
        <w:rPr>
          <w:rFonts w:ascii="Times New Roman" w:hAnsi="Times New Roman" w:cs="Times New Roman"/>
          <w:sz w:val="28"/>
          <w:szCs w:val="28"/>
        </w:rPr>
        <w:t>т</w:t>
      </w:r>
      <w:r w:rsidR="00D76485">
        <w:rPr>
          <w:rFonts w:ascii="Times New Roman" w:hAnsi="Times New Roman" w:cs="Times New Roman"/>
          <w:sz w:val="28"/>
          <w:szCs w:val="28"/>
        </w:rPr>
        <w:t xml:space="preserve">  </w:t>
      </w:r>
      <w:r w:rsidR="00647202" w:rsidRPr="00C25B0F">
        <w:rPr>
          <w:rFonts w:ascii="Times New Roman" w:hAnsi="Times New Roman" w:cs="Times New Roman"/>
          <w:sz w:val="28"/>
          <w:szCs w:val="28"/>
        </w:rPr>
        <w:t xml:space="preserve"> </w:t>
      </w:r>
      <w:r w:rsidR="00A41985" w:rsidRPr="00A41985">
        <w:rPr>
          <w:rFonts w:ascii="Times New Roman" w:hAnsi="Times New Roman" w:cs="Times New Roman"/>
          <w:sz w:val="28"/>
          <w:szCs w:val="28"/>
        </w:rPr>
        <w:t xml:space="preserve">13 </w:t>
      </w:r>
      <w:r w:rsidR="00D76485">
        <w:rPr>
          <w:rFonts w:ascii="Times New Roman" w:hAnsi="Times New Roman" w:cs="Times New Roman"/>
          <w:sz w:val="28"/>
          <w:szCs w:val="28"/>
        </w:rPr>
        <w:t>августа</w:t>
      </w:r>
      <w:r w:rsidR="00B70E70">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031AF5">
        <w:rPr>
          <w:rFonts w:ascii="Times New Roman" w:hAnsi="Times New Roman" w:cs="Times New Roman"/>
          <w:sz w:val="28"/>
          <w:szCs w:val="28"/>
        </w:rPr>
        <w:t>4</w:t>
      </w:r>
      <w:r w:rsidR="00CA4EB0">
        <w:rPr>
          <w:rFonts w:ascii="Times New Roman" w:hAnsi="Times New Roman" w:cs="Times New Roman"/>
          <w:sz w:val="28"/>
          <w:szCs w:val="28"/>
        </w:rPr>
        <w:t xml:space="preserve"> года №</w:t>
      </w:r>
      <w:r w:rsidR="00A41985" w:rsidRPr="00A41985">
        <w:rPr>
          <w:rFonts w:ascii="Times New Roman" w:hAnsi="Times New Roman" w:cs="Times New Roman"/>
          <w:sz w:val="28"/>
          <w:szCs w:val="28"/>
        </w:rPr>
        <w:t>70</w:t>
      </w:r>
      <w:r w:rsidR="00F35015">
        <w:rPr>
          <w:rFonts w:ascii="Times New Roman" w:hAnsi="Times New Roman" w:cs="Times New Roman"/>
          <w:sz w:val="28"/>
          <w:szCs w:val="28"/>
        </w:rPr>
        <w:t xml:space="preserve"> </w:t>
      </w:r>
      <w:r w:rsidR="00F45F6B" w:rsidRPr="00F45F6B">
        <w:rPr>
          <w:rFonts w:ascii="Times New Roman" w:hAnsi="Times New Roman" w:cs="Times New Roman"/>
          <w:sz w:val="28"/>
          <w:szCs w:val="28"/>
        </w:rPr>
        <w:t>-</w:t>
      </w:r>
      <w:proofErr w:type="spellStart"/>
      <w:r w:rsidR="00F45F6B" w:rsidRPr="00F45F6B">
        <w:rPr>
          <w:rFonts w:ascii="Times New Roman" w:hAnsi="Times New Roman" w:cs="Times New Roman"/>
          <w:sz w:val="28"/>
          <w:szCs w:val="28"/>
        </w:rPr>
        <w:t>рр</w:t>
      </w:r>
      <w:proofErr w:type="spellEnd"/>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031AF5" w:rsidRPr="00BB7397">
        <w:rPr>
          <w:rFonts w:ascii="Times New Roman" w:eastAsia="Times New Roman" w:hAnsi="Times New Roman" w:cs="Times New Roman"/>
          <w:sz w:val="28"/>
          <w:szCs w:val="28"/>
        </w:rPr>
        <w:t>6</w:t>
      </w:r>
      <w:r w:rsidRPr="00B31D85">
        <w:rPr>
          <w:rFonts w:ascii="Times New Roman" w:eastAsia="Times New Roman" w:hAnsi="Times New Roman" w:cs="Times New Roman"/>
          <w:sz w:val="28"/>
          <w:szCs w:val="28"/>
        </w:rPr>
        <w:t xml:space="preserve"> декабря 202</w:t>
      </w:r>
      <w:r w:rsidR="00031AF5" w:rsidRPr="00BB7397">
        <w:rPr>
          <w:rFonts w:ascii="Times New Roman" w:eastAsia="Times New Roman" w:hAnsi="Times New Roman" w:cs="Times New Roman"/>
          <w:sz w:val="28"/>
          <w:szCs w:val="28"/>
        </w:rPr>
        <w:t>3</w:t>
      </w:r>
      <w:r w:rsidRPr="00B31D85">
        <w:rPr>
          <w:rFonts w:ascii="Times New Roman" w:eastAsia="Times New Roman" w:hAnsi="Times New Roman" w:cs="Times New Roman"/>
          <w:sz w:val="28"/>
          <w:szCs w:val="28"/>
        </w:rPr>
        <w:t xml:space="preserve"> года № </w:t>
      </w:r>
      <w:r w:rsidR="00AF0177" w:rsidRPr="00AF0177">
        <w:rPr>
          <w:rFonts w:ascii="Times New Roman" w:eastAsia="Times New Roman" w:hAnsi="Times New Roman" w:cs="Times New Roman"/>
          <w:sz w:val="28"/>
          <w:szCs w:val="28"/>
        </w:rPr>
        <w:t>3</w:t>
      </w:r>
      <w:r w:rsidR="00031AF5" w:rsidRPr="00BB7397">
        <w:rPr>
          <w:rFonts w:ascii="Times New Roman" w:eastAsia="Times New Roman" w:hAnsi="Times New Roman" w:cs="Times New Roman"/>
          <w:sz w:val="28"/>
          <w:szCs w:val="28"/>
        </w:rPr>
        <w:t>5</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031AF5" w:rsidRPr="00031AF5">
        <w:rPr>
          <w:rFonts w:ascii="Times New Roman" w:hAnsi="Times New Roman" w:cs="Times New Roman"/>
          <w:b/>
          <w:bCs/>
          <w:sz w:val="28"/>
          <w:szCs w:val="28"/>
          <w:lang w:eastAsia="ru-RU"/>
        </w:rPr>
        <w:t>4</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031AF5" w:rsidRPr="00031AF5">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и 20</w:t>
      </w:r>
      <w:r w:rsidR="005E2D1C" w:rsidRPr="00D22736">
        <w:rPr>
          <w:rFonts w:ascii="Times New Roman" w:hAnsi="Times New Roman" w:cs="Times New Roman"/>
          <w:b/>
          <w:bCs/>
          <w:sz w:val="28"/>
          <w:szCs w:val="28"/>
          <w:lang w:eastAsia="ru-RU"/>
        </w:rPr>
        <w:t>2</w:t>
      </w:r>
      <w:r w:rsidR="00031AF5" w:rsidRPr="00031AF5">
        <w:rPr>
          <w:rFonts w:ascii="Times New Roman" w:hAnsi="Times New Roman" w:cs="Times New Roman"/>
          <w:b/>
          <w:bCs/>
          <w:sz w:val="28"/>
          <w:szCs w:val="28"/>
          <w:lang w:eastAsia="ru-RU"/>
        </w:rPr>
        <w:t>6</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3A3800"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bookmarkStart w:id="0" w:name="_GoBack"/>
      <w:bookmarkEnd w:id="0"/>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996" w:type="dxa"/>
        <w:tblInd w:w="93" w:type="dxa"/>
        <w:tblLook w:val="04A0" w:firstRow="1" w:lastRow="0" w:firstColumn="1" w:lastColumn="0" w:noHBand="0" w:noVBand="1"/>
      </w:tblPr>
      <w:tblGrid>
        <w:gridCol w:w="3400"/>
        <w:gridCol w:w="503"/>
        <w:gridCol w:w="646"/>
        <w:gridCol w:w="816"/>
        <w:gridCol w:w="576"/>
        <w:gridCol w:w="1653"/>
        <w:gridCol w:w="1701"/>
        <w:gridCol w:w="1701"/>
      </w:tblGrid>
      <w:tr w:rsidR="004510D3" w:rsidRPr="004510D3" w:rsidTr="004510D3">
        <w:trPr>
          <w:trHeight w:val="204"/>
        </w:trPr>
        <w:tc>
          <w:tcPr>
            <w:tcW w:w="3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Наименование</w:t>
            </w:r>
          </w:p>
        </w:tc>
        <w:tc>
          <w:tcPr>
            <w:tcW w:w="2541" w:type="dxa"/>
            <w:gridSpan w:val="4"/>
            <w:tcBorders>
              <w:top w:val="single" w:sz="4" w:space="0" w:color="auto"/>
              <w:left w:val="nil"/>
              <w:bottom w:val="single" w:sz="4" w:space="0" w:color="auto"/>
              <w:right w:val="single" w:sz="4" w:space="0" w:color="000000"/>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Коды классификации</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2024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2025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2026 год</w:t>
            </w:r>
          </w:p>
        </w:tc>
      </w:tr>
      <w:tr w:rsidR="004510D3" w:rsidRPr="004510D3" w:rsidTr="004510D3">
        <w:trPr>
          <w:trHeight w:val="204"/>
        </w:trPr>
        <w:tc>
          <w:tcPr>
            <w:tcW w:w="3400" w:type="dxa"/>
            <w:vMerge/>
            <w:tcBorders>
              <w:top w:val="single" w:sz="4" w:space="0" w:color="auto"/>
              <w:left w:val="single" w:sz="4" w:space="0" w:color="auto"/>
              <w:bottom w:val="single" w:sz="4" w:space="0" w:color="000000"/>
              <w:right w:val="single" w:sz="4" w:space="0" w:color="auto"/>
            </w:tcBorders>
            <w:vAlign w:val="center"/>
            <w:hideMark/>
          </w:tcPr>
          <w:p w:rsidR="004510D3" w:rsidRPr="004510D3" w:rsidRDefault="004510D3" w:rsidP="004510D3">
            <w:pPr>
              <w:spacing w:after="0" w:line="240" w:lineRule="auto"/>
              <w:rPr>
                <w:rFonts w:ascii="Times New Roman" w:eastAsia="Times New Roman" w:hAnsi="Times New Roman" w:cs="Times New Roman"/>
                <w:b/>
                <w:sz w:val="24"/>
                <w:szCs w:val="24"/>
                <w:lang w:eastAsia="ru-RU"/>
              </w:rPr>
            </w:pPr>
          </w:p>
        </w:tc>
        <w:tc>
          <w:tcPr>
            <w:tcW w:w="503" w:type="dxa"/>
            <w:tcBorders>
              <w:top w:val="nil"/>
              <w:left w:val="nil"/>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Гр</w:t>
            </w:r>
          </w:p>
        </w:tc>
        <w:tc>
          <w:tcPr>
            <w:tcW w:w="646" w:type="dxa"/>
            <w:tcBorders>
              <w:top w:val="nil"/>
              <w:left w:val="nil"/>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proofErr w:type="spellStart"/>
            <w:r w:rsidRPr="004510D3">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4510D3">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АГ</w:t>
            </w: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4510D3" w:rsidRPr="004510D3" w:rsidRDefault="004510D3" w:rsidP="004510D3">
            <w:pPr>
              <w:spacing w:after="0" w:line="240" w:lineRule="auto"/>
              <w:rPr>
                <w:rFonts w:ascii="Times New Roman" w:eastAsia="Times New Roman" w:hAnsi="Times New Roman" w:cs="Times New Roman"/>
                <w:b/>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10D3" w:rsidRPr="004510D3" w:rsidRDefault="004510D3" w:rsidP="004510D3">
            <w:pPr>
              <w:spacing w:after="0" w:line="240" w:lineRule="auto"/>
              <w:rPr>
                <w:rFonts w:ascii="Times New Roman" w:eastAsia="Times New Roman" w:hAnsi="Times New Roman" w:cs="Times New Roman"/>
                <w:b/>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10D3" w:rsidRPr="004510D3" w:rsidRDefault="004510D3" w:rsidP="004510D3">
            <w:pPr>
              <w:spacing w:after="0" w:line="240" w:lineRule="auto"/>
              <w:rPr>
                <w:rFonts w:ascii="Times New Roman" w:eastAsia="Times New Roman" w:hAnsi="Times New Roman" w:cs="Times New Roman"/>
                <w:b/>
                <w:sz w:val="24"/>
                <w:szCs w:val="24"/>
                <w:lang w:eastAsia="ru-RU"/>
              </w:rPr>
            </w:pPr>
          </w:p>
        </w:tc>
      </w:tr>
      <w:tr w:rsidR="004510D3" w:rsidRPr="004510D3" w:rsidTr="004510D3">
        <w:trPr>
          <w:trHeight w:val="192"/>
        </w:trPr>
        <w:tc>
          <w:tcPr>
            <w:tcW w:w="3400" w:type="dxa"/>
            <w:tcBorders>
              <w:top w:val="nil"/>
              <w:left w:val="single" w:sz="4" w:space="0" w:color="auto"/>
              <w:bottom w:val="single" w:sz="4" w:space="0" w:color="auto"/>
              <w:right w:val="nil"/>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1</w:t>
            </w:r>
          </w:p>
        </w:tc>
        <w:tc>
          <w:tcPr>
            <w:tcW w:w="503" w:type="dxa"/>
            <w:tcBorders>
              <w:top w:val="nil"/>
              <w:left w:val="single" w:sz="4" w:space="0" w:color="auto"/>
              <w:bottom w:val="nil"/>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2</w:t>
            </w:r>
          </w:p>
        </w:tc>
        <w:tc>
          <w:tcPr>
            <w:tcW w:w="646" w:type="dxa"/>
            <w:tcBorders>
              <w:top w:val="nil"/>
              <w:left w:val="nil"/>
              <w:bottom w:val="nil"/>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5</w:t>
            </w:r>
          </w:p>
        </w:tc>
        <w:tc>
          <w:tcPr>
            <w:tcW w:w="1653" w:type="dxa"/>
            <w:tcBorders>
              <w:top w:val="nil"/>
              <w:left w:val="nil"/>
              <w:bottom w:val="single" w:sz="4" w:space="0" w:color="auto"/>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rsidR="004510D3" w:rsidRPr="004510D3" w:rsidRDefault="004510D3" w:rsidP="004510D3">
            <w:pPr>
              <w:spacing w:after="0" w:line="240" w:lineRule="auto"/>
              <w:jc w:val="center"/>
              <w:rPr>
                <w:rFonts w:ascii="Times New Roman" w:eastAsia="Times New Roman" w:hAnsi="Times New Roman" w:cs="Times New Roman"/>
                <w:b/>
                <w:sz w:val="24"/>
                <w:szCs w:val="24"/>
                <w:lang w:eastAsia="ru-RU"/>
              </w:rPr>
            </w:pPr>
            <w:r w:rsidRPr="004510D3">
              <w:rPr>
                <w:rFonts w:ascii="Times New Roman" w:eastAsia="Times New Roman" w:hAnsi="Times New Roman" w:cs="Times New Roman"/>
                <w:b/>
                <w:sz w:val="24"/>
                <w:szCs w:val="24"/>
                <w:lang w:eastAsia="ru-RU"/>
              </w:rPr>
              <w:t>8</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ИТОГО</w:t>
            </w:r>
          </w:p>
        </w:tc>
        <w:tc>
          <w:tcPr>
            <w:tcW w:w="503" w:type="dxa"/>
            <w:tcBorders>
              <w:top w:val="single" w:sz="4" w:space="0" w:color="auto"/>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646" w:type="dxa"/>
            <w:tcBorders>
              <w:top w:val="single" w:sz="4" w:space="0" w:color="auto"/>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6D0FE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5 6</w:t>
            </w:r>
            <w:r w:rsidR="006D0FE3">
              <w:rPr>
                <w:rFonts w:ascii="Times New Roman" w:eastAsia="Times New Roman" w:hAnsi="Times New Roman" w:cs="Times New Roman"/>
                <w:b/>
                <w:bCs/>
                <w:sz w:val="24"/>
                <w:szCs w:val="24"/>
                <w:lang w:val="en-US" w:eastAsia="ru-RU"/>
              </w:rPr>
              <w:t>4</w:t>
            </w:r>
            <w:r w:rsidRPr="004510D3">
              <w:rPr>
                <w:rFonts w:ascii="Times New Roman" w:eastAsia="Times New Roman" w:hAnsi="Times New Roman" w:cs="Times New Roman"/>
                <w:b/>
                <w:bCs/>
                <w:sz w:val="24"/>
                <w:szCs w:val="24"/>
                <w:lang w:eastAsia="ru-RU"/>
              </w:rPr>
              <w:t>1 061,54</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3 351 474,21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2 981 226,15</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НАЛОГОВЫЕ И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6033AB">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7</w:t>
            </w:r>
            <w:r w:rsidR="006033AB">
              <w:rPr>
                <w:rFonts w:ascii="Times New Roman" w:eastAsia="Times New Roman" w:hAnsi="Times New Roman" w:cs="Times New Roman"/>
                <w:b/>
                <w:bCs/>
                <w:sz w:val="24"/>
                <w:szCs w:val="24"/>
                <w:lang w:val="en-US" w:eastAsia="ru-RU"/>
              </w:rPr>
              <w:t>7</w:t>
            </w:r>
            <w:r w:rsidRPr="004510D3">
              <w:rPr>
                <w:rFonts w:ascii="Times New Roman" w:eastAsia="Times New Roman" w:hAnsi="Times New Roman" w:cs="Times New Roman"/>
                <w:b/>
                <w:bCs/>
                <w:sz w:val="24"/>
                <w:szCs w:val="24"/>
                <w:lang w:eastAsia="ru-RU"/>
              </w:rPr>
              <w:t>2 900,50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622 078,00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641 689,70</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НАЛОГИ НА ПРИБЫЛЬ, ДОХОДЫ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432 303,00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382 037,00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395 405,00</w:t>
            </w:r>
          </w:p>
        </w:tc>
      </w:tr>
      <w:tr w:rsidR="004510D3" w:rsidRPr="004510D3" w:rsidTr="004510D3">
        <w:trPr>
          <w:trHeight w:val="265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399 870,00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365 379,00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377 297,00</w:t>
            </w:r>
          </w:p>
        </w:tc>
      </w:tr>
      <w:tr w:rsidR="004510D3" w:rsidRPr="004510D3" w:rsidTr="004510D3">
        <w:trPr>
          <w:trHeight w:val="224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1 151,00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351,00</w:t>
            </w:r>
          </w:p>
        </w:tc>
      </w:tr>
      <w:tr w:rsidR="004510D3" w:rsidRPr="004510D3" w:rsidTr="004510D3">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6 032,00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3 607,00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3 707,00</w:t>
            </w:r>
          </w:p>
        </w:tc>
      </w:tr>
      <w:tr w:rsidR="004510D3" w:rsidRPr="004510D3" w:rsidTr="004510D3">
        <w:trPr>
          <w:trHeight w:val="224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осуществляющимися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3 200,00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2 500,00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2 600,00</w:t>
            </w:r>
          </w:p>
        </w:tc>
      </w:tr>
      <w:tr w:rsidR="004510D3" w:rsidRPr="004510D3" w:rsidTr="004510D3">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510D3">
              <w:rPr>
                <w:rFonts w:ascii="Times New Roman" w:eastAsia="Times New Roman" w:hAnsi="Times New Roman" w:cs="Times New Roman"/>
                <w:bCs/>
                <w:sz w:val="24"/>
                <w:szCs w:val="24"/>
                <w:lang w:eastAsia="ru-RU"/>
              </w:rPr>
              <w:t xml:space="preserve"> физическим лицом - налоговым резидентом Российской Федерации в виде дивидендов)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6 700,00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2 800,00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3 000,00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02090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450,00</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6 000,00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11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w:t>
            </w:r>
            <w:r w:rsidRPr="004510D3">
              <w:rPr>
                <w:rFonts w:ascii="Times New Roman" w:eastAsia="Times New Roman" w:hAnsi="Times New Roman" w:cs="Times New Roman"/>
                <w:bCs/>
                <w:sz w:val="24"/>
                <w:szCs w:val="24"/>
                <w:lang w:eastAsia="ru-RU"/>
              </w:rPr>
              <w:lastRenderedPageBreak/>
              <w:t>Российской Федерации в виде дивидендов (в части суммы налога, превышающей 650 000 рублей)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9 000,00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7 000,00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8 000,00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lastRenderedPageBreak/>
              <w:t>НАЛОГИ НА ТОВАРЫ (РАБОТЫ, УСЛУГИ), РЕАЛИЗУЕМЫЕ НА ТЕРРИТОРИИ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19 709,50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20 008,00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21 228,70</w:t>
            </w:r>
          </w:p>
        </w:tc>
      </w:tr>
      <w:tr w:rsidR="004510D3" w:rsidRPr="004510D3" w:rsidTr="004510D3">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9 757,80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10 409,30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11 058,00</w:t>
            </w:r>
          </w:p>
        </w:tc>
      </w:tr>
      <w:tr w:rsidR="004510D3" w:rsidRPr="004510D3" w:rsidTr="004510D3">
        <w:trPr>
          <w:trHeight w:val="285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46,50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54,70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58,70</w:t>
            </w:r>
          </w:p>
        </w:tc>
      </w:tr>
      <w:tr w:rsidR="004510D3" w:rsidRPr="004510D3" w:rsidTr="004510D3">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11 117,70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10 838,00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11 516,90</w:t>
            </w:r>
          </w:p>
        </w:tc>
      </w:tr>
      <w:tr w:rsidR="004510D3" w:rsidRPr="004510D3" w:rsidTr="004510D3">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-1 212,50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-1 294,00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-1 404,90</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НАЛОГИ НА СОВОКУПНЫЙ ДОХОД</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120 700,00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119 500,00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125 100,00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84 599,00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91 299,00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96 399,00</w:t>
            </w:r>
          </w:p>
        </w:tc>
      </w:tr>
      <w:tr w:rsidR="004510D3" w:rsidRPr="004510D3" w:rsidTr="004510D3">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21 401,00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18 901,00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19 201,00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14 700,00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9 300,00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9 500,00</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ГОСУДАРСТВЕННАЯ ПОШЛИНА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7 882,00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6 447,00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6 501,00</w:t>
            </w:r>
          </w:p>
        </w:tc>
      </w:tr>
      <w:tr w:rsidR="004510D3" w:rsidRPr="004510D3" w:rsidTr="004510D3">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7 882,00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6 447,00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6 501,00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73 331,00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49 422,00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49 822,00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26 759,00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21 711,00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21 938,00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35 012,50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17 651,00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17 728,00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10 300,00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9 850,00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9 944,00</w:t>
            </w:r>
          </w:p>
        </w:tc>
      </w:tr>
      <w:tr w:rsidR="004510D3" w:rsidRPr="004510D3" w:rsidTr="004510D3">
        <w:trPr>
          <w:trHeight w:val="169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w:t>
            </w:r>
            <w:r w:rsidRPr="004510D3">
              <w:rPr>
                <w:rFonts w:ascii="Times New Roman" w:eastAsia="Times New Roman" w:hAnsi="Times New Roman" w:cs="Times New Roman"/>
                <w:bCs/>
                <w:sz w:val="24"/>
                <w:szCs w:val="24"/>
                <w:lang w:eastAsia="ru-RU"/>
              </w:rPr>
              <w:lastRenderedPageBreak/>
              <w:t>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955,00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15,00</w:t>
            </w:r>
          </w:p>
        </w:tc>
      </w:tr>
      <w:tr w:rsidR="004510D3" w:rsidRPr="004510D3" w:rsidTr="004510D3">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05314</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224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05325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269,00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195,00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197,00</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07015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ПЛАТЕЖИ ПРИ ПОЛЬЗОВАНИИ ПРИРОДНЫМИ РЕСУРСАМИ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44 345,00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195,00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195,00</w:t>
            </w:r>
          </w:p>
        </w:tc>
      </w:tr>
      <w:tr w:rsidR="004510D3" w:rsidRPr="004510D3" w:rsidTr="004510D3">
        <w:trPr>
          <w:trHeight w:val="27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Плата за выбросы загрязняющих веществ в атмосферный воздух </w:t>
            </w:r>
            <w:r w:rsidRPr="004510D3">
              <w:rPr>
                <w:rFonts w:ascii="Times New Roman" w:eastAsia="Times New Roman" w:hAnsi="Times New Roman" w:cs="Times New Roman"/>
                <w:bCs/>
                <w:sz w:val="24"/>
                <w:szCs w:val="24"/>
                <w:lang w:eastAsia="ru-RU"/>
              </w:rPr>
              <w:lastRenderedPageBreak/>
              <w:t>стационарными объектами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240,00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Плата за сбросы загрязняющих веществ в водные объекты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44 020,00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Плата за размещение отходов производства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5,00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17 931,00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22 610,00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22 710,00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9 631,00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11 600,00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11 700,00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8 300,00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11 010,00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11 010,00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6D0FE3" w:rsidP="004510D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5</w:t>
            </w:r>
            <w:r w:rsidR="004510D3" w:rsidRPr="004510D3">
              <w:rPr>
                <w:rFonts w:ascii="Times New Roman" w:eastAsia="Times New Roman" w:hAnsi="Times New Roman" w:cs="Times New Roman"/>
                <w:b/>
                <w:bCs/>
                <w:sz w:val="24"/>
                <w:szCs w:val="24"/>
                <w:lang w:eastAsia="ru-RU"/>
              </w:rPr>
              <w:t>0 130,00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19 902,00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18 647,00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2 010,00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муниципальных районов (за исключение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410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7 900,00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7 115,00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7 160,00</w:t>
            </w:r>
          </w:p>
        </w:tc>
      </w:tr>
      <w:tr w:rsidR="004510D3" w:rsidRPr="004510D3" w:rsidTr="004510D3">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Доходы от продажи земельных участков, государственная собственность на которые не </w:t>
            </w:r>
            <w:r w:rsidRPr="004510D3">
              <w:rPr>
                <w:rFonts w:ascii="Times New Roman" w:eastAsia="Times New Roman" w:hAnsi="Times New Roman" w:cs="Times New Roman"/>
                <w:bCs/>
                <w:sz w:val="24"/>
                <w:szCs w:val="24"/>
                <w:lang w:eastAsia="ru-RU"/>
              </w:rPr>
              <w:lastRenderedPageBreak/>
              <w:t>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430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10 723,00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7 251,00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7 331,00</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430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6D0FE3" w:rsidP="004510D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2</w:t>
            </w:r>
            <w:r w:rsidR="004510D3" w:rsidRPr="004510D3">
              <w:rPr>
                <w:rFonts w:ascii="Times New Roman" w:eastAsia="Times New Roman" w:hAnsi="Times New Roman" w:cs="Times New Roman"/>
                <w:bCs/>
                <w:sz w:val="24"/>
                <w:szCs w:val="24"/>
                <w:lang w:eastAsia="ru-RU"/>
              </w:rPr>
              <w:t>9 394,00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5 523,00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4 143,00</w:t>
            </w:r>
          </w:p>
        </w:tc>
      </w:tr>
      <w:tr w:rsidR="004510D3" w:rsidRPr="004510D3" w:rsidTr="004510D3">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430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ШТРАФЫ, САНКЦИИ, ВОЗМЕЩЕНИЕ УЩЕРБА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6 321,00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1 307,00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1 421,00</w:t>
            </w:r>
          </w:p>
        </w:tc>
      </w:tr>
      <w:tr w:rsidR="004510D3" w:rsidRPr="004510D3" w:rsidTr="004510D3">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r>
      <w:tr w:rsidR="004510D3" w:rsidRPr="004510D3" w:rsidTr="004510D3">
        <w:trPr>
          <w:trHeight w:val="408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4510D3">
              <w:rPr>
                <w:rFonts w:ascii="Times New Roman" w:eastAsia="Times New Roman" w:hAnsi="Times New Roman" w:cs="Times New Roman"/>
                <w:bCs/>
                <w:sz w:val="24"/>
                <w:szCs w:val="24"/>
                <w:lang w:eastAsia="ru-RU"/>
              </w:rPr>
              <w:t xml:space="preserve">, </w:t>
            </w:r>
            <w:proofErr w:type="gramStart"/>
            <w:r w:rsidRPr="004510D3">
              <w:rPr>
                <w:rFonts w:ascii="Times New Roman" w:eastAsia="Times New Roman" w:hAnsi="Times New Roman" w:cs="Times New Roman"/>
                <w:bCs/>
                <w:sz w:val="24"/>
                <w:szCs w:val="24"/>
                <w:lang w:eastAsia="ru-RU"/>
              </w:rPr>
              <w:t>содержащих</w:t>
            </w:r>
            <w:proofErr w:type="gramEnd"/>
            <w:r w:rsidRPr="004510D3">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56,50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56,50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56,50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61,00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136,00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136,00</w:t>
            </w:r>
          </w:p>
        </w:tc>
      </w:tr>
      <w:tr w:rsidR="004510D3" w:rsidRPr="004510D3" w:rsidTr="004510D3">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w:t>
            </w:r>
            <w:r w:rsidRPr="004510D3">
              <w:rPr>
                <w:rFonts w:ascii="Times New Roman" w:eastAsia="Times New Roman" w:hAnsi="Times New Roman" w:cs="Times New Roman"/>
                <w:bCs/>
                <w:sz w:val="24"/>
                <w:szCs w:val="24"/>
                <w:lang w:eastAsia="ru-RU"/>
              </w:rPr>
              <w:lastRenderedPageBreak/>
              <w:t>промышленности, строительстве и энергетике,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01093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0,00</w:t>
            </w:r>
            <w:r w:rsidRPr="004510D3">
              <w:rPr>
                <w:rFonts w:ascii="Times New Roman" w:eastAsia="Times New Roman" w:hAnsi="Times New Roman" w:cs="Times New Roman"/>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01103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2,00</w:t>
            </w:r>
          </w:p>
        </w:tc>
        <w:tc>
          <w:tcPr>
            <w:tcW w:w="1701" w:type="dxa"/>
            <w:tcBorders>
              <w:top w:val="nil"/>
              <w:left w:val="nil"/>
              <w:bottom w:val="single" w:sz="4" w:space="0" w:color="auto"/>
              <w:right w:val="single" w:sz="4" w:space="0" w:color="auto"/>
            </w:tcBorders>
            <w:shd w:val="clear" w:color="auto" w:fill="auto"/>
            <w:noWrap/>
            <w:hideMark/>
          </w:tcPr>
          <w:p w:rsidR="004510D3" w:rsidRDefault="004510D3" w:rsidP="004510D3">
            <w:pPr>
              <w:jc w:val="right"/>
            </w:pPr>
            <w:r w:rsidRPr="00C9314E">
              <w:rPr>
                <w:rFonts w:ascii="Times New Roman" w:eastAsia="Times New Roman" w:hAnsi="Times New Roman" w:cs="Times New Roman"/>
                <w:bCs/>
                <w:sz w:val="24"/>
                <w:szCs w:val="24"/>
                <w:lang w:eastAsia="ru-RU"/>
              </w:rPr>
              <w:t>0,00</w:t>
            </w:r>
            <w:r w:rsidRPr="004510D3">
              <w:rPr>
                <w:rFonts w:ascii="Times New Roman" w:eastAsia="Times New Roman" w:hAnsi="Times New Roman" w:cs="Times New Roman"/>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4510D3" w:rsidRDefault="004510D3" w:rsidP="004510D3">
            <w:pPr>
              <w:jc w:val="right"/>
            </w:pPr>
            <w:r w:rsidRPr="00C9314E">
              <w:rPr>
                <w:rFonts w:ascii="Times New Roman" w:eastAsia="Times New Roman" w:hAnsi="Times New Roman" w:cs="Times New Roman"/>
                <w:bCs/>
                <w:sz w:val="24"/>
                <w:szCs w:val="24"/>
                <w:lang w:eastAsia="ru-RU"/>
              </w:rPr>
              <w:t>0,00</w:t>
            </w:r>
            <w:r w:rsidRPr="004510D3">
              <w:rPr>
                <w:rFonts w:ascii="Times New Roman" w:eastAsia="Times New Roman" w:hAnsi="Times New Roman" w:cs="Times New Roman"/>
                <w:bCs/>
                <w:sz w:val="24"/>
                <w:szCs w:val="24"/>
                <w:lang w:eastAsia="ru-RU"/>
              </w:rPr>
              <w:t> </w:t>
            </w:r>
          </w:p>
        </w:tc>
      </w:tr>
      <w:tr w:rsidR="004510D3" w:rsidRPr="004510D3" w:rsidTr="004510D3">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19,00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74,00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74,00</w:t>
            </w:r>
          </w:p>
        </w:tc>
      </w:tr>
      <w:tr w:rsidR="004510D3" w:rsidRPr="004510D3" w:rsidTr="004510D3">
        <w:trPr>
          <w:trHeight w:val="326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r>
      <w:tr w:rsidR="004510D3" w:rsidRPr="004510D3" w:rsidTr="004510D3">
        <w:trPr>
          <w:trHeight w:val="41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w:t>
            </w:r>
            <w:r w:rsidRPr="004510D3">
              <w:rPr>
                <w:rFonts w:ascii="Times New Roman" w:eastAsia="Times New Roman" w:hAnsi="Times New Roman" w:cs="Times New Roman"/>
                <w:bCs/>
                <w:sz w:val="24"/>
                <w:szCs w:val="24"/>
                <w:lang w:eastAsia="ru-RU"/>
              </w:rPr>
              <w:lastRenderedPageBreak/>
              <w:t>штрафы)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32,50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74,00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74,00</w:t>
            </w:r>
          </w:p>
        </w:tc>
      </w:tr>
      <w:tr w:rsidR="004510D3" w:rsidRPr="004510D3" w:rsidTr="004510D3">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124,00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295,00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298,00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07010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100,00</w:t>
            </w:r>
          </w:p>
        </w:tc>
        <w:tc>
          <w:tcPr>
            <w:tcW w:w="1701" w:type="dxa"/>
            <w:tcBorders>
              <w:top w:val="nil"/>
              <w:left w:val="nil"/>
              <w:bottom w:val="single" w:sz="4" w:space="0" w:color="auto"/>
              <w:right w:val="single" w:sz="4" w:space="0" w:color="auto"/>
            </w:tcBorders>
            <w:shd w:val="clear" w:color="auto" w:fill="auto"/>
            <w:noWrap/>
            <w:hideMark/>
          </w:tcPr>
          <w:p w:rsidR="004510D3" w:rsidRDefault="004510D3" w:rsidP="004510D3">
            <w:pPr>
              <w:jc w:val="right"/>
            </w:pPr>
            <w:r w:rsidRPr="009F1315">
              <w:rPr>
                <w:rFonts w:ascii="Times New Roman" w:eastAsia="Times New Roman" w:hAnsi="Times New Roman" w:cs="Times New Roman"/>
                <w:bCs/>
                <w:sz w:val="24"/>
                <w:szCs w:val="24"/>
                <w:lang w:eastAsia="ru-RU"/>
              </w:rPr>
              <w:t>0,00</w:t>
            </w:r>
            <w:r w:rsidRPr="004510D3">
              <w:rPr>
                <w:rFonts w:ascii="Times New Roman" w:eastAsia="Times New Roman" w:hAnsi="Times New Roman" w:cs="Times New Roman"/>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4510D3" w:rsidRDefault="004510D3" w:rsidP="004510D3">
            <w:pPr>
              <w:jc w:val="right"/>
            </w:pPr>
            <w:r w:rsidRPr="009F1315">
              <w:rPr>
                <w:rFonts w:ascii="Times New Roman" w:eastAsia="Times New Roman" w:hAnsi="Times New Roman" w:cs="Times New Roman"/>
                <w:bCs/>
                <w:sz w:val="24"/>
                <w:szCs w:val="24"/>
                <w:lang w:eastAsia="ru-RU"/>
              </w:rPr>
              <w:t>0,00</w:t>
            </w:r>
            <w:r w:rsidRPr="004510D3">
              <w:rPr>
                <w:rFonts w:ascii="Times New Roman" w:eastAsia="Times New Roman" w:hAnsi="Times New Roman" w:cs="Times New Roman"/>
                <w:bCs/>
                <w:sz w:val="24"/>
                <w:szCs w:val="24"/>
                <w:lang w:eastAsia="ru-RU"/>
              </w:rPr>
              <w:t> </w:t>
            </w:r>
          </w:p>
        </w:tc>
      </w:tr>
      <w:tr w:rsidR="004510D3" w:rsidRPr="004510D3" w:rsidTr="004510D3">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10031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10032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117,20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128,20</w:t>
            </w:r>
          </w:p>
        </w:tc>
      </w:tr>
      <w:tr w:rsidR="004510D3" w:rsidRPr="004510D3" w:rsidTr="004510D3">
        <w:trPr>
          <w:trHeight w:val="367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lastRenderedPageBreak/>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510D3">
              <w:rPr>
                <w:rFonts w:ascii="Times New Roman" w:eastAsia="Times New Roman" w:hAnsi="Times New Roman" w:cs="Times New Roman"/>
                <w:bCs/>
                <w:sz w:val="24"/>
                <w:szCs w:val="24"/>
                <w:lang w:eastAsia="ru-RU"/>
              </w:rPr>
              <w:t xml:space="preserve"> фонда)</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10061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6,30</w:t>
            </w:r>
          </w:p>
        </w:tc>
      </w:tr>
      <w:tr w:rsidR="004510D3" w:rsidRPr="004510D3" w:rsidTr="004510D3">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2,80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2,80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2,80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w:t>
            </w:r>
            <w:r w:rsidRPr="004510D3">
              <w:rPr>
                <w:rFonts w:ascii="Times New Roman" w:eastAsia="Times New Roman" w:hAnsi="Times New Roman" w:cs="Times New Roman"/>
                <w:bCs/>
                <w:sz w:val="24"/>
                <w:szCs w:val="24"/>
                <w:lang w:eastAsia="ru-RU"/>
              </w:rPr>
              <w:lastRenderedPageBreak/>
              <w:t>зачислению в федеральный бюджет и бюджет муниципального образования по нормативам, действовавшим в 2019 году</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8,00</w:t>
            </w:r>
          </w:p>
        </w:tc>
      </w:tr>
      <w:tr w:rsidR="004510D3" w:rsidRPr="004510D3" w:rsidTr="004510D3">
        <w:trPr>
          <w:trHeight w:val="367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proofErr w:type="gramStart"/>
            <w:r w:rsidRPr="004510D3">
              <w:rPr>
                <w:rFonts w:ascii="Times New Roman" w:eastAsia="Times New Roman" w:hAnsi="Times New Roman" w:cs="Times New Roman"/>
                <w:bCs/>
                <w:sz w:val="24"/>
                <w:szCs w:val="24"/>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4510D3">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5 739,70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448,20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548,20</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ПРОЧИЕ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248,00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650,00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660,00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180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248,00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650,00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660,00</w:t>
            </w:r>
          </w:p>
        </w:tc>
      </w:tr>
      <w:tr w:rsidR="004510D3" w:rsidRPr="004510D3" w:rsidTr="004510D3">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4 868 161,04</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2 729 396,21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2 339 536,45</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4 847 538,64</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2 720 196,21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2 330 336,45</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723 780,02</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348 947,00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299 851,00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620 772,00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348 947,00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299 851,00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 xml:space="preserve">Дотации бюджетам муниципальных районов на поддержку мер по обеспечению сбалансированности бюджетов </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99 707,92</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3 300,10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2 256 978,01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445 165,91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104 307,43</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42 865,60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40 000,00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60 000,00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782 528,10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224 680,00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224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20299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360 836,31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559"/>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w:t>
            </w:r>
            <w:r w:rsidRPr="004510D3">
              <w:rPr>
                <w:rFonts w:ascii="Times New Roman" w:eastAsia="Times New Roman" w:hAnsi="Times New Roman" w:cs="Times New Roman"/>
                <w:bCs/>
                <w:sz w:val="24"/>
                <w:szCs w:val="24"/>
                <w:lang w:eastAsia="ru-RU"/>
              </w:rPr>
              <w:lastRenderedPageBreak/>
              <w:t>строительства, за счет средств бюджетов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20302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176 418,06</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Субсидии бюджетам муниципальных районов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25081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12 316,30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создание системы долговременного ухода за гражданами пожилого возраста и инвалидами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7 451,60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25171</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949,50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25172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7 508,40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4 595,13</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4 595,13</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5 554,65</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строительство и реконструкцию (модернизацию) объектов питьевого водоснабжения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25243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102 776,30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34 389,86</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31 983,80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31 311,70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1 653,51</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12 680,86</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Субсидии бюджетам муниципальных районов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27277</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494 215,28</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субсидии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215 793,20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143 906,98</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7 441,08</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xml:space="preserve">СУБВЕНЦИИ БЮДЖЕТАМ БЮДЖЕТНОЙ СИСТЕМЫ </w:t>
            </w:r>
            <w:r w:rsidRPr="004510D3">
              <w:rPr>
                <w:rFonts w:ascii="Times New Roman" w:eastAsia="Times New Roman" w:hAnsi="Times New Roman" w:cs="Times New Roman"/>
                <w:b/>
                <w:bCs/>
                <w:sz w:val="24"/>
                <w:szCs w:val="24"/>
                <w:lang w:eastAsia="ru-RU"/>
              </w:rPr>
              <w:lastRenderedPageBreak/>
              <w:t>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1 680 249,09</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1 742 967,20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1 743 061,92</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60,00</w:t>
            </w:r>
          </w:p>
        </w:tc>
      </w:tr>
      <w:tr w:rsidR="004510D3" w:rsidRPr="004510D3" w:rsidTr="004510D3">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1 618 607,50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1 671 064,25</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1 670 795,25</w:t>
            </w:r>
          </w:p>
        </w:tc>
      </w:tr>
      <w:tr w:rsidR="004510D3" w:rsidRPr="004510D3" w:rsidTr="004510D3">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49 967,20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58 774,50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58 774,50</w:t>
            </w:r>
          </w:p>
        </w:tc>
      </w:tr>
      <w:tr w:rsidR="004510D3" w:rsidRPr="004510D3" w:rsidTr="004510D3">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106,00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475,30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475,30</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9 547,16</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9 547,05</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9 547,17</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4,60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4,80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79,60</w:t>
            </w:r>
          </w:p>
        </w:tc>
      </w:tr>
      <w:tr w:rsidR="004510D3" w:rsidRPr="004510D3" w:rsidTr="004510D3">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1 956,63</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3 041,30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3 330,10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186 531,52</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183 116,10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183 116,10</w:t>
            </w:r>
          </w:p>
        </w:tc>
      </w:tr>
      <w:tr w:rsidR="004510D3" w:rsidRPr="004510D3" w:rsidTr="004510D3">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138 737,00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144 017,00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144 017,00</w:t>
            </w:r>
          </w:p>
        </w:tc>
      </w:tr>
      <w:tr w:rsidR="004510D3" w:rsidRPr="004510D3" w:rsidTr="004510D3">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45 141,70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39 099,10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39 099,10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межбюджетные трансферты, передаваемые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2 652,82</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8 200,00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0,00</w:t>
            </w:r>
          </w:p>
        </w:tc>
      </w:tr>
      <w:tr w:rsidR="004510D3" w:rsidRPr="004510D3" w:rsidTr="004510D3">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 xml:space="preserve">Прочие безвозмездные поступления от негосударственных </w:t>
            </w:r>
            <w:r w:rsidRPr="004510D3">
              <w:rPr>
                <w:rFonts w:ascii="Times New Roman" w:eastAsia="Times New Roman" w:hAnsi="Times New Roman" w:cs="Times New Roman"/>
                <w:bCs/>
                <w:sz w:val="24"/>
                <w:szCs w:val="24"/>
                <w:lang w:eastAsia="ru-RU"/>
              </w:rPr>
              <w:lastRenderedPageBreak/>
              <w:t>организаций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8 200,00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lastRenderedPageBreak/>
              <w:t>ПРОЧИЕ 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12 422,40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
                <w:bCs/>
                <w:sz w:val="24"/>
                <w:szCs w:val="24"/>
                <w:lang w:eastAsia="ru-RU"/>
              </w:rPr>
            </w:pPr>
            <w:r w:rsidRPr="004510D3">
              <w:rPr>
                <w:rFonts w:ascii="Times New Roman" w:eastAsia="Times New Roman" w:hAnsi="Times New Roman" w:cs="Times New Roman"/>
                <w:b/>
                <w:bCs/>
                <w:sz w:val="24"/>
                <w:szCs w:val="24"/>
                <w:lang w:eastAsia="ru-RU"/>
              </w:rPr>
              <w:t>9 200,00</w:t>
            </w:r>
          </w:p>
        </w:tc>
      </w:tr>
      <w:tr w:rsidR="004510D3" w:rsidRPr="004510D3" w:rsidTr="004510D3">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510D3" w:rsidRPr="004510D3" w:rsidRDefault="004510D3" w:rsidP="004510D3">
            <w:pPr>
              <w:spacing w:after="0" w:line="240" w:lineRule="auto"/>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center"/>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150</w:t>
            </w:r>
          </w:p>
        </w:tc>
        <w:tc>
          <w:tcPr>
            <w:tcW w:w="1653"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12 422,40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9 200,00</w:t>
            </w:r>
          </w:p>
        </w:tc>
        <w:tc>
          <w:tcPr>
            <w:tcW w:w="1701" w:type="dxa"/>
            <w:tcBorders>
              <w:top w:val="nil"/>
              <w:left w:val="nil"/>
              <w:bottom w:val="single" w:sz="4" w:space="0" w:color="auto"/>
              <w:right w:val="single" w:sz="4" w:space="0" w:color="auto"/>
            </w:tcBorders>
            <w:shd w:val="clear" w:color="auto" w:fill="auto"/>
            <w:noWrap/>
            <w:hideMark/>
          </w:tcPr>
          <w:p w:rsidR="004510D3" w:rsidRPr="004510D3" w:rsidRDefault="004510D3" w:rsidP="004510D3">
            <w:pPr>
              <w:spacing w:after="0" w:line="240" w:lineRule="auto"/>
              <w:jc w:val="right"/>
              <w:rPr>
                <w:rFonts w:ascii="Times New Roman" w:eastAsia="Times New Roman" w:hAnsi="Times New Roman" w:cs="Times New Roman"/>
                <w:bCs/>
                <w:sz w:val="24"/>
                <w:szCs w:val="24"/>
                <w:lang w:eastAsia="ru-RU"/>
              </w:rPr>
            </w:pPr>
            <w:r w:rsidRPr="004510D3">
              <w:rPr>
                <w:rFonts w:ascii="Times New Roman" w:eastAsia="Times New Roman" w:hAnsi="Times New Roman" w:cs="Times New Roman"/>
                <w:bCs/>
                <w:sz w:val="24"/>
                <w:szCs w:val="24"/>
                <w:lang w:eastAsia="ru-RU"/>
              </w:rPr>
              <w:t>9 200,00</w:t>
            </w:r>
          </w:p>
        </w:tc>
      </w:tr>
    </w:tbl>
    <w:p w:rsidR="00C25B0F" w:rsidRPr="007F17AA" w:rsidRDefault="00C25B0F" w:rsidP="005E6C9B">
      <w:pPr>
        <w:spacing w:after="0" w:line="240" w:lineRule="auto"/>
        <w:ind w:right="-428"/>
        <w:jc w:val="center"/>
        <w:rPr>
          <w:rFonts w:ascii="Times New Roman" w:hAnsi="Times New Roman" w:cs="Times New Roman"/>
          <w:b/>
          <w:sz w:val="24"/>
          <w:szCs w:val="24"/>
          <w:lang w:eastAsia="ru-RU"/>
        </w:rPr>
      </w:pPr>
    </w:p>
    <w:sectPr w:rsidR="00C25B0F" w:rsidRPr="007F17AA"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A41985">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6451"/>
    <w:rsid w:val="00277016"/>
    <w:rsid w:val="002B105D"/>
    <w:rsid w:val="002E0F5D"/>
    <w:rsid w:val="002E620E"/>
    <w:rsid w:val="003075E7"/>
    <w:rsid w:val="003428DB"/>
    <w:rsid w:val="00344630"/>
    <w:rsid w:val="00344CE4"/>
    <w:rsid w:val="0034632A"/>
    <w:rsid w:val="003578DD"/>
    <w:rsid w:val="0036116E"/>
    <w:rsid w:val="00364CCC"/>
    <w:rsid w:val="0037281F"/>
    <w:rsid w:val="00373277"/>
    <w:rsid w:val="003763A3"/>
    <w:rsid w:val="00387B65"/>
    <w:rsid w:val="00396504"/>
    <w:rsid w:val="003A3800"/>
    <w:rsid w:val="003B6687"/>
    <w:rsid w:val="003B69D7"/>
    <w:rsid w:val="003C04B2"/>
    <w:rsid w:val="003E76E3"/>
    <w:rsid w:val="00405544"/>
    <w:rsid w:val="004152CB"/>
    <w:rsid w:val="00430D89"/>
    <w:rsid w:val="004510D3"/>
    <w:rsid w:val="00451B54"/>
    <w:rsid w:val="00480E54"/>
    <w:rsid w:val="004975D7"/>
    <w:rsid w:val="004B25B0"/>
    <w:rsid w:val="004B7C60"/>
    <w:rsid w:val="004C7C24"/>
    <w:rsid w:val="004D3492"/>
    <w:rsid w:val="004F4000"/>
    <w:rsid w:val="004F72E8"/>
    <w:rsid w:val="0050122E"/>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33AB"/>
    <w:rsid w:val="00606BC4"/>
    <w:rsid w:val="006147FC"/>
    <w:rsid w:val="00622E0C"/>
    <w:rsid w:val="00623330"/>
    <w:rsid w:val="0064072A"/>
    <w:rsid w:val="00647202"/>
    <w:rsid w:val="00650C74"/>
    <w:rsid w:val="0065527A"/>
    <w:rsid w:val="006677CD"/>
    <w:rsid w:val="00683411"/>
    <w:rsid w:val="00683FF0"/>
    <w:rsid w:val="00687105"/>
    <w:rsid w:val="00694F67"/>
    <w:rsid w:val="006A0988"/>
    <w:rsid w:val="006A51F2"/>
    <w:rsid w:val="006C281E"/>
    <w:rsid w:val="006C4EBC"/>
    <w:rsid w:val="006C7952"/>
    <w:rsid w:val="006D0FE3"/>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F0C79"/>
    <w:rsid w:val="009F323B"/>
    <w:rsid w:val="00A147CA"/>
    <w:rsid w:val="00A319DA"/>
    <w:rsid w:val="00A375E8"/>
    <w:rsid w:val="00A41985"/>
    <w:rsid w:val="00A4422F"/>
    <w:rsid w:val="00A97165"/>
    <w:rsid w:val="00AA64EC"/>
    <w:rsid w:val="00AB0AB9"/>
    <w:rsid w:val="00AC6EA9"/>
    <w:rsid w:val="00AD53DE"/>
    <w:rsid w:val="00AF0177"/>
    <w:rsid w:val="00AF46DD"/>
    <w:rsid w:val="00AF4D34"/>
    <w:rsid w:val="00B05B91"/>
    <w:rsid w:val="00B24A46"/>
    <w:rsid w:val="00B307F7"/>
    <w:rsid w:val="00B31D85"/>
    <w:rsid w:val="00B32BFC"/>
    <w:rsid w:val="00B464D0"/>
    <w:rsid w:val="00B52FD4"/>
    <w:rsid w:val="00B53332"/>
    <w:rsid w:val="00B70E70"/>
    <w:rsid w:val="00B72DF4"/>
    <w:rsid w:val="00B73A3D"/>
    <w:rsid w:val="00B753B4"/>
    <w:rsid w:val="00B76538"/>
    <w:rsid w:val="00B865CC"/>
    <w:rsid w:val="00B93097"/>
    <w:rsid w:val="00B93581"/>
    <w:rsid w:val="00BA3EC7"/>
    <w:rsid w:val="00BA4F55"/>
    <w:rsid w:val="00BB7397"/>
    <w:rsid w:val="00BC6C1B"/>
    <w:rsid w:val="00C0670C"/>
    <w:rsid w:val="00C25B0F"/>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76485"/>
    <w:rsid w:val="00D847D6"/>
    <w:rsid w:val="00DA404A"/>
    <w:rsid w:val="00DB1D09"/>
    <w:rsid w:val="00DB6F82"/>
    <w:rsid w:val="00DD7973"/>
    <w:rsid w:val="00DE4A58"/>
    <w:rsid w:val="00DF69C2"/>
    <w:rsid w:val="00E22F85"/>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35015"/>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18914076">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7720088">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851727336">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36337947">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370567280">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21</Pages>
  <Words>3242</Words>
  <Characters>21802</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68</cp:revision>
  <cp:lastPrinted>2024-04-22T03:41:00Z</cp:lastPrinted>
  <dcterms:created xsi:type="dcterms:W3CDTF">2020-09-09T04:16:00Z</dcterms:created>
  <dcterms:modified xsi:type="dcterms:W3CDTF">2024-08-14T04:23:00Z</dcterms:modified>
</cp:coreProperties>
</file>