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07" w:rsidRPr="004728F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28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214207" w:rsidRPr="004728F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Совета народных депутатов Таштагольского муниципального района «О бюджете муниципального образования </w:t>
      </w:r>
    </w:p>
    <w:p w:rsidR="00214207" w:rsidRPr="004728F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«Таштагольский  муниципальный район» </w:t>
      </w:r>
    </w:p>
    <w:p w:rsidR="00214207" w:rsidRPr="004728F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FB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47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B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Pr="00557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214207" w:rsidRPr="00394875" w:rsidRDefault="00214207" w:rsidP="00214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207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местного бюджета муниципального образования «Таштагольский муниципальный район» сформирован на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новый период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</w:t>
      </w:r>
      <w:r w:rsidRPr="00394875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 проектом</w:t>
      </w:r>
      <w:r w:rsidRPr="00394875">
        <w:rPr>
          <w:rFonts w:ascii="Times New Roman" w:hAnsi="Times New Roman" w:cs="Times New Roman"/>
          <w:sz w:val="28"/>
          <w:szCs w:val="28"/>
        </w:rPr>
        <w:t xml:space="preserve"> закона  Кемеровской области –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75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областном</w:t>
      </w:r>
      <w:r w:rsidRPr="00394875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FB7E23">
        <w:rPr>
          <w:rFonts w:ascii="Times New Roman" w:hAnsi="Times New Roman" w:cs="Times New Roman"/>
          <w:sz w:val="28"/>
          <w:szCs w:val="28"/>
        </w:rPr>
        <w:t>5</w:t>
      </w:r>
      <w:r w:rsidRPr="0039487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B7E23">
        <w:rPr>
          <w:rFonts w:ascii="Times New Roman" w:hAnsi="Times New Roman" w:cs="Times New Roman"/>
          <w:sz w:val="28"/>
          <w:szCs w:val="28"/>
        </w:rPr>
        <w:t>6</w:t>
      </w:r>
      <w:r w:rsidRPr="00394875">
        <w:rPr>
          <w:rFonts w:ascii="Times New Roman" w:hAnsi="Times New Roman" w:cs="Times New Roman"/>
          <w:sz w:val="28"/>
          <w:szCs w:val="28"/>
        </w:rPr>
        <w:t xml:space="preserve"> и 202</w:t>
      </w:r>
      <w:r w:rsidR="00FB7E23">
        <w:rPr>
          <w:rFonts w:ascii="Times New Roman" w:hAnsi="Times New Roman" w:cs="Times New Roman"/>
          <w:sz w:val="28"/>
          <w:szCs w:val="28"/>
        </w:rPr>
        <w:t>7</w:t>
      </w:r>
      <w:r w:rsidRPr="00394875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основными направлениями бюджетной и налоговой политики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 муниципального района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proofErr w:type="gramEnd"/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основными параметрами прогноза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 муниципального района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прогнозом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 муниципального района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FB7E2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6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годов.</w:t>
      </w:r>
    </w:p>
    <w:p w:rsidR="00214207" w:rsidRPr="00394875" w:rsidRDefault="00214207" w:rsidP="002142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4875">
        <w:rPr>
          <w:rFonts w:ascii="Times New Roman" w:hAnsi="Times New Roman" w:cs="Times New Roman"/>
          <w:b w:val="0"/>
          <w:sz w:val="28"/>
          <w:szCs w:val="28"/>
        </w:rPr>
        <w:t>Правовым основанием принятия проекта местного бюджета являются Бюджетный кодекс Российской Федерации и решение Совета народных депутатов Таштагольского муниципального района «Об утверждении Положения «О бюджетном процессе на территории Таштагольского муниципального района».</w:t>
      </w:r>
    </w:p>
    <w:p w:rsidR="00214207" w:rsidRPr="00394875" w:rsidRDefault="00214207" w:rsidP="0021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75">
        <w:rPr>
          <w:rFonts w:ascii="Times New Roman" w:hAnsi="Times New Roman" w:cs="Times New Roman"/>
          <w:sz w:val="28"/>
          <w:szCs w:val="28"/>
        </w:rPr>
        <w:t>Цель законопроекта – финансовое обеспечение задач</w:t>
      </w:r>
      <w:r>
        <w:rPr>
          <w:rFonts w:ascii="Times New Roman" w:hAnsi="Times New Roman" w:cs="Times New Roman"/>
          <w:sz w:val="28"/>
          <w:szCs w:val="28"/>
        </w:rPr>
        <w:t xml:space="preserve"> и функций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 муниципального района</w:t>
      </w:r>
      <w:r w:rsidRPr="00394875">
        <w:rPr>
          <w:rFonts w:ascii="Times New Roman" w:hAnsi="Times New Roman" w:cs="Times New Roman"/>
          <w:sz w:val="28"/>
          <w:szCs w:val="28"/>
        </w:rPr>
        <w:t>.</w:t>
      </w:r>
    </w:p>
    <w:p w:rsidR="00214207" w:rsidRPr="00394875" w:rsidRDefault="00214207" w:rsidP="00214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875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проекта местного бюджета</w:t>
      </w:r>
      <w:r w:rsidRPr="0039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4875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 xml:space="preserve">е управление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Таштагольскому району</w:t>
      </w:r>
      <w:r w:rsidRPr="00394875">
        <w:rPr>
          <w:rFonts w:ascii="Times New Roman" w:hAnsi="Times New Roman" w:cs="Times New Roman"/>
          <w:sz w:val="28"/>
          <w:szCs w:val="28"/>
        </w:rPr>
        <w:t>.</w:t>
      </w:r>
    </w:p>
    <w:p w:rsidR="00214207" w:rsidRPr="005F6FB1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207" w:rsidRPr="004B614A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61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характеристики местного бюджета</w:t>
      </w:r>
    </w:p>
    <w:p w:rsidR="00214207" w:rsidRPr="004B614A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207" w:rsidRPr="004B614A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>Доходы бюджета муниципального образования «Таштагольский муниципальный район» прогнозируются в размере:</w:t>
      </w:r>
    </w:p>
    <w:p w:rsidR="00214207" w:rsidRPr="00AB0679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61002C"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– доходы местного бюджета в сумме </w:t>
      </w:r>
      <w:r w:rsidR="0061002C"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>3372397,50</w:t>
      </w:r>
      <w:r w:rsidRPr="004B6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 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налоговые и неналоговые доходы </w:t>
      </w:r>
      <w:r w:rsidR="0061002C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790827,40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безвозмездные поступления </w:t>
      </w:r>
      <w:r w:rsidR="0061002C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2581570,10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расходы местного бюджета в сумме </w:t>
      </w:r>
      <w:r w:rsidR="0061002C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3402397,50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 расходы, сформированные в рамках 2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Таштагольского муниципального района,</w:t>
      </w:r>
      <w:r w:rsidR="0061002C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3211446.60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94.39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 от расходов местного бюджета, непрограммные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190950.90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дефицит местного бюджета в сумме </w:t>
      </w:r>
      <w:r w:rsidR="004B614A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30000,00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14207" w:rsidRPr="00AB0679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4B614A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– </w:t>
      </w:r>
      <w:r w:rsidR="004B614A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доходы местного бюджета в сумме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3055880,20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</w:t>
      </w:r>
      <w:r w:rsidR="004B614A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налоговые и неналоговые доходы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835364,2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тыс. рублей, безвозмездные поступления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2220516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 тыс. рублей; расходы местного бюджета в сумме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3055880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тыс. рублей, из них из них программные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2881143.40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условно-утвержденные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31212.40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непрограммные расходы 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143524.41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214207" w:rsidRPr="00AB0679" w:rsidRDefault="00214207" w:rsidP="00214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– доходы местного бюджета в сумме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3053640,40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 налоговые и неналоговые доходы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893101,50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безвозмездные поступления </w:t>
      </w:r>
      <w:r w:rsidR="005F6665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2160538,90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расходы местного бюджета в сумме </w:t>
      </w:r>
      <w:r w:rsidR="0049562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3053640,40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 программные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2848072.60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условно-утвержденные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63449.60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непрограммные расходы </w:t>
      </w:r>
      <w:r w:rsidR="00AB0679"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>142118.24</w:t>
      </w:r>
      <w:r w:rsidRPr="00A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214207" w:rsidRPr="00540F8D" w:rsidRDefault="00214207" w:rsidP="00214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верхний предел муниципального внутреннего долга Таштагольского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1 января 202</w:t>
      </w:r>
      <w:r w:rsidR="00707DF1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540F8D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7247,8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707DF1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707DF1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540F8D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6212,4 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1 января 202</w:t>
      </w:r>
      <w:r w:rsidR="00707DF1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40F8D"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>5177,00</w:t>
      </w:r>
      <w:r w:rsidRPr="005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4207" w:rsidRPr="00B33122" w:rsidRDefault="00214207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</w:t>
      </w: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расчете прогнозируемого объема доходов </w:t>
      </w:r>
      <w:r w:rsidRPr="00B33122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учитывались принятые в 202</w:t>
      </w:r>
      <w:r w:rsidR="00B33122"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изменения налогового и бюджетного законодательства Российской Федерации, </w:t>
      </w:r>
      <w:r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планируемые 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принятию в текущем финансовом году изменения и дополнения 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законодательство Российской Федерации, учтенные в проекте федерального закона «О федеральном бюджете </w:t>
      </w:r>
      <w:r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B33122"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на плановый период 202</w:t>
      </w:r>
      <w:r w:rsidR="00B33122"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 и 2027</w:t>
      </w:r>
      <w:r w:rsidRPr="00B331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годов» и </w:t>
      </w:r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оказывающие влияние на доходы </w:t>
      </w:r>
      <w:r w:rsidRPr="00B33122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proofErr w:type="gramEnd"/>
      <w:r w:rsidRPr="00B33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в планируемом периоде.</w:t>
      </w:r>
    </w:p>
    <w:p w:rsid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налогового и бюджетного законодательства Российской Федерации учтены следующие принятые и проектируемые изменения: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налога на доходы физических лиц: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с 01.01.2025 года дифференцированных ставок по налогу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доходы физических лиц в зависимости от размера и вида дохода, полученного налогоплательщиком в налоговом периоде, в соответствии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от 12.07.2024 № 176-ФЗ «О внесении изменений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 01.01.2025 года размеров стандартных налоговых вычетов на второго и последующих детей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с 01.01.2025 года нового вида стандартного налогового вычета по налогу на доходы физических лиц в размере 18,0 тыс. рублей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налоговый период для лиц, выполнивших нормативы комплекса «Готов к труду и обороне»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награжденных знаком отличия при условии прохождения налогоплательщиком диспансеризации в соответствующем календарном году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12.07.2024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176-ФЗ «О внесении изменений в части первую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 01.01.2025 года с 350,0 тыс. рублей до 450,0 тыс. рублей предельного размера дохода, до достижения которого применяются стандартные налоговые вычеты в соответствии с Федеральным законом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с 01.01.2025 года ограничения на применение освобождения от обложения налогом на доходы физических лиц доходов, полученных от реализации ценных бумаг (долей участия в уставном капитале), находившихся в собственности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лет, если такие доходы превышают 50 млн. рублей за налоговый период в соответствии с Федеральным законом от 12.07.2024 № 176-ФЗ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части первую и вторую Налогового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с 01.01.2025 года налога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доходы физических лиц между бюджетами бюджетной с</w:t>
      </w:r>
      <w:r w:rsid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Российской Федерации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прогрессивной шкалы налогообложения доходов физических лиц в соответствии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13.07.2024 № 177-ФЗ «О внесении изменений в Бюджетный кодекс Российской Федерации и отдельные законодательные акты Российской Федерации».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акцизов по подакцизным товарам: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индексация на 2025–2027 годы ставок акцизов на алкогольную продукцию и акцизов на нефтепродукты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индексация на 2025-2027 годы ставок акцизов на алкогольную продукцию и акцизов на нефтепродукты в соответствии с проектом федерального закона №727330-8 «О внесении изменений в часть вторую Налогового кодекса Российской Федерации и отдельные законодательные акты Российской Федерации»;</w:t>
      </w:r>
    </w:p>
    <w:p w:rsidR="00102C37" w:rsidRPr="00102C37" w:rsidRDefault="00102C37" w:rsidP="00102C37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 74,9% до 68,5%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 зачисления в бюджеты субъектов Российской Федерации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Федерации в соответствии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 федерального закона № 727327-8 «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2025 году и о внесении изменений в отдельные законодательные акты Российской Федерации»;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налога, взимаемого в связи с применением упрощенной системы налогообложения: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 01.01.2025 года </w:t>
      </w:r>
      <w:r w:rsidR="00F83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112,5 млн. рублей до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337,5 млн. рублей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доходов организаций в целях перехода на упрощенную систему налогообложения в соответствии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 01.01.2025 года с 200,0 млн. рублей до 450,0 млн</w:t>
      </w:r>
      <w:r w:rsid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предельного размера доходов организаций, по достижении которого утрачивается право на применение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упрощенной системы налогообложения,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Федерации»;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с 01.01.2025 года </w:t>
      </w:r>
      <w:r w:rsidRPr="0002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100 до 130 человек средней численности работников и с 150,0 млн. рублей до 200,0 млн. рублей остаточной стоимости основных средств, после </w:t>
      </w:r>
      <w:proofErr w:type="gramStart"/>
      <w:r w:rsidRPr="00024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proofErr w:type="gramEnd"/>
      <w:r w:rsidRPr="0002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налогоплательщики не вправе применять упрощенную систему налогообложения,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Федерации»;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отмена с 01.01.2025 года повышенных ставок 8% при объекте налогообложения «доходы» и 20% при объекте налогообложения «доходы минус расходы» при превышениях лимитов для применения </w:t>
      </w:r>
      <w:r w:rsidRPr="0010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упрощенной системы налогообложения 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Федерации».</w:t>
      </w:r>
    </w:p>
    <w:p w:rsidR="00102C37" w:rsidRPr="00102C37" w:rsidRDefault="00102C37" w:rsidP="0010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государственной пошлины – увеличение размера отдельных государственных пошлин за совершение юридически значимых действий уполномоченными органами в соответствии с Федеральным законом от 27.11.2023 № 539-ФЗ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Федеральным законом от 12.07.2024 № 176-ФЗ «О внесении изменений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Федерации».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налогового и бюджетного законодательства Кемеровской области – Кузбасса учтены следующие принятые и проектируемые изменения:</w:t>
      </w:r>
    </w:p>
    <w:p w:rsidR="00102C37" w:rsidRPr="00102C37" w:rsidRDefault="00F83C73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02C37" w:rsidRPr="00102C37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части налога на доходы физических лиц:</w:t>
      </w:r>
    </w:p>
    <w:p w:rsidR="00102C37" w:rsidRPr="00102C37" w:rsidRDefault="00102C37" w:rsidP="001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до одного года минимального предельного срока владения объектом недвижимого имущества </w:t>
      </w:r>
      <w:r w:rsidRPr="00102C3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детей-сирот и детей, оставшихся без попечения родителей, в целях освобождения</w:t>
      </w: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налогообложения налогом на доходы физических лиц за соответствующий налоговый период доходов от продажи объектов недвижимого имущества в соответствии с Законом Кемеровской области – Кузбасса от 25.04.2024 № 39-ОЗ «Об уменьшении минимального предельного срока владения объектом недвижимого имущества в целях</w:t>
      </w:r>
      <w:proofErr w:type="gramEnd"/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освобождения от налогообложения налогом на доходы физических лиц доходов от продажи объектов недвижимого имущества на территории Кемеровской области – Кузбасса»;</w:t>
      </w:r>
    </w:p>
    <w:p w:rsidR="00F83C73" w:rsidRDefault="00102C37" w:rsidP="0002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 2025 год размера регионального коэффициента по налогу на доходы физических лиц для иностранных граждан, отражающего региональные особенности рынка труда Кемеровской области – Кузбасса, в размере 2,424 в соответствии с проектом закона Кемеровской области – Кузбасса «Об установлении коэффициента, отражающего региональные особенности рынка труда Кемеровской области – Кузбассе, на 2025 год».</w:t>
      </w:r>
      <w:r w:rsidR="00F83C73"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C73" w:rsidRPr="00F83C73" w:rsidRDefault="00F83C73" w:rsidP="00F83C73">
      <w:pPr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налога, взимаемого в связи с применением упрощенной системы налогообложения:</w:t>
      </w:r>
    </w:p>
    <w:p w:rsidR="00F83C73" w:rsidRPr="00F83C73" w:rsidRDefault="00F83C73" w:rsidP="00F83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на 2020 – 2025 годы пониженных налоговых ставок при применении упрощенной системы налогообложения для социально ориентированных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30.07.2021 № 1290 «О реестре социально ориентированных некоммерческих организаций» в размерах: 5% – в случае, если объектом налогообложения являются доходы, уменьшенные на величину расходов, и 1% – в случае, если</w:t>
      </w:r>
      <w:proofErr w:type="gramEnd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налогообложения являются доходы, в соответствии с Законом Кемеровской области – Кузбасса от 30.11.2022 № 132-ОЗ «О внесении изменений в некоторые законодательные акты Кемеровской области – Кузбасса в сфере налогообложения»;</w:t>
      </w:r>
    </w:p>
    <w:p w:rsidR="00F83C73" w:rsidRPr="00F83C73" w:rsidRDefault="00F83C73" w:rsidP="00F8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C73">
        <w:rPr>
          <w:rFonts w:ascii="Times New Roman" w:eastAsia="Calibri" w:hAnsi="Times New Roman" w:cs="Times New Roman"/>
          <w:sz w:val="28"/>
          <w:szCs w:val="28"/>
        </w:rPr>
        <w:t xml:space="preserve">установление на 2022 – 2026 годы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пониженных налоговых ставок при применении упрощенной системы налогообложения для организаций и индивидуальных предпринимателей, с которыми заключено соглашение о реализации мер по поддержке приоритетных направлений развития внутреннего и въездного туризма в Кемеровской области – Кузбассе в размерах: 5% – в случае, если объектом налогообложения являются доходы, уменьшенные на величину расходов, и 1% – в случае, если объектом налогообложения являются</w:t>
      </w:r>
      <w:proofErr w:type="gramEnd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доходы, в соответствии с Законом Кемеровской области – Кузбасса от 30.11.2022 № 132-ОЗ «О внесении изменений в некоторые законодательные акты Кемеровской области – Кузбасса в сфере налогообложения»;</w:t>
      </w:r>
    </w:p>
    <w:p w:rsidR="00F83C73" w:rsidRPr="00F83C73" w:rsidRDefault="00F83C73" w:rsidP="00F83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на 2022 – 2025 годы пониженных налоговых ставок при применении упрощенной системы налогообложения для налогоплательщиков, осуществляющих деятельность в области информационных технологий в размерах: 5% – в случае, если объектом налогообложения являются доходы, уменьшенные на величину расходов, и 1% – в случае, если объектом налогообложения являются доходы, в соответствии с Законом Кемеровской области – Кузбасса от 04.07.2022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67-ОЗ «О внесении изменений в некоторые законодательные</w:t>
      </w:r>
      <w:proofErr w:type="gramEnd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Кемеровской области – Кузбасса в сфере налогообложения»;</w:t>
      </w:r>
    </w:p>
    <w:p w:rsidR="00F83C73" w:rsidRPr="00F83C73" w:rsidRDefault="00F83C73" w:rsidP="00F8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</w:t>
      </w:r>
      <w:r w:rsidRPr="00F83C73">
        <w:rPr>
          <w:rFonts w:ascii="Times New Roman" w:eastAsia="Calibri" w:hAnsi="Times New Roman" w:cs="Times New Roman"/>
          <w:sz w:val="28"/>
          <w:szCs w:val="28"/>
        </w:rPr>
        <w:t xml:space="preserve"> 2023 – 2025 годы пониженных налоговых ставок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упрощенной системы налогообложения, для субъектов малого и среднего предпринимательства, имеющих статус социального предприятия, в размерах: 5% – в случае, если объектом налогообложения являются доходы, уменьшенные на величину расходов, и 1% – в случае, если объектом налогообложения являются доходы в соответствии с </w:t>
      </w:r>
      <w:hyperlink r:id="rId7" w:history="1">
        <w:r w:rsidRPr="00F83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Кузбасса от 16.12.2022 № 147-ОЗ </w:t>
      </w:r>
      <w:r w:rsidRPr="00F83C73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proofErr w:type="gramEnd"/>
      <w:r w:rsidRPr="00F83C73">
        <w:rPr>
          <w:rFonts w:ascii="Times New Roman" w:eastAsia="Calibri" w:hAnsi="Times New Roman" w:cs="Times New Roman"/>
          <w:sz w:val="28"/>
          <w:szCs w:val="28"/>
        </w:rPr>
        <w:t xml:space="preserve"> Закон Кемеровской области «О налоговых ставках при применении упрощенной системы налогообложения»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861" w:rsidRDefault="00F83C73" w:rsidP="000248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до 01.01.2027 года налоговой ставки в размере 0% для впервые зарегистрированных индивидуальных предпринимателей, применяющих упрощенную систему налогообложения,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населению, в соответствии с проектом закона Кемеровской области – Кузбасса «О внесении изменений в некоторые законодательные акты Кемеровской области – Кузбасса в сфере налогообложения».</w:t>
      </w:r>
      <w:r w:rsidRPr="00F83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F83C73" w:rsidRPr="00024861" w:rsidRDefault="00F83C73" w:rsidP="000248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части транспортного налога – продление освобождения от уплаты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налога участникам специальной военной операции, на период участия в специальной военной операции, в соответствии с Законом Кемеровской области – </w:t>
      </w:r>
      <w:r w:rsidRPr="00F83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Кузбасса от 14.06.2024 № 56-ОЗ «О внесении изменений в статью 6 Закона Кемеровской области «</w:t>
      </w:r>
      <w:r w:rsidRPr="000248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транспортном налоге».</w:t>
      </w:r>
    </w:p>
    <w:p w:rsidR="00102C37" w:rsidRPr="00F83C73" w:rsidRDefault="00F83C73" w:rsidP="00F8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73">
        <w:rPr>
          <w:rFonts w:ascii="Times New Roman" w:eastAsia="Calibri" w:hAnsi="Times New Roman" w:cs="Times New Roman"/>
          <w:sz w:val="28"/>
          <w:szCs w:val="28"/>
        </w:rPr>
        <w:t>Параметры местного бюджета по доходам рассчитаны в соответствии с Методикой расчета прогноза налоговых и</w:t>
      </w:r>
      <w:r w:rsidRPr="00255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неналоговых доходов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59B4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муниципального образования «Таштагольский муниципальный район»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</w:t>
      </w:r>
      <w:r w:rsidRPr="005F6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 Таштагольского муниципального района от 27.</w:t>
      </w:r>
      <w:r w:rsidRPr="005F6FB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F579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F6FB1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Pr="00AF579F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F6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AF579F">
        <w:rPr>
          <w:rFonts w:ascii="Times New Roman" w:eastAsia="Times New Roman" w:hAnsi="Times New Roman" w:cs="Times New Roman"/>
          <w:sz w:val="28"/>
          <w:szCs w:val="24"/>
          <w:lang w:eastAsia="ru-RU"/>
        </w:rPr>
        <w:t>464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-п.</w:t>
      </w:r>
      <w:r w:rsidRPr="005F6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86E14" w:rsidRDefault="00D86E14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207" w:rsidRPr="00143BEB" w:rsidRDefault="00214207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доходы физических лиц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>Прогноз поступлений в местный бюджет налога на доходы физических лиц</w:t>
      </w:r>
      <w:r w:rsidR="00D86E14">
        <w:rPr>
          <w:rFonts w:ascii="Times New Roman" w:eastAsia="Calibri" w:hAnsi="Times New Roman" w:cs="Times New Roman"/>
          <w:sz w:val="28"/>
          <w:szCs w:val="28"/>
        </w:rPr>
        <w:t xml:space="preserve"> рассчитан на основе прогноза 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администратора доходов </w:t>
      </w:r>
      <w:r w:rsidRPr="00143B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ИФНС России №8 по Кемеровской области - Кузбассу. 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3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 прогнозировании поступлений в районный бюджет налога на </w:t>
      </w:r>
      <w:r w:rsidRPr="00143BEB">
        <w:rPr>
          <w:rFonts w:ascii="Times New Roman" w:eastAsia="Calibri" w:hAnsi="Times New Roman" w:cs="Times New Roman"/>
          <w:sz w:val="28"/>
          <w:szCs w:val="28"/>
        </w:rPr>
        <w:t>доходы физических лиц</w:t>
      </w:r>
      <w:r w:rsidRPr="00143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учтены следующие факторы: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>статистическая отчетность ИФНС России №8 по Кемеровской области - Кузбассу по формам №5-НДФЛ;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>оценка поступлений налога на доходы физических лиц за 202</w:t>
      </w:r>
      <w:r w:rsidR="00143BEB">
        <w:rPr>
          <w:rFonts w:ascii="Times New Roman" w:eastAsia="Calibri" w:hAnsi="Times New Roman" w:cs="Times New Roman"/>
          <w:sz w:val="28"/>
          <w:szCs w:val="28"/>
        </w:rPr>
        <w:t>4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>динамика фактических поступлений разовых платежей по налогу в 202</w:t>
      </w:r>
      <w:r w:rsidR="00143BEB">
        <w:rPr>
          <w:rFonts w:ascii="Times New Roman" w:eastAsia="Calibri" w:hAnsi="Times New Roman" w:cs="Times New Roman"/>
          <w:sz w:val="28"/>
          <w:szCs w:val="28"/>
        </w:rPr>
        <w:t>2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B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3BEB">
        <w:rPr>
          <w:rFonts w:ascii="Times New Roman" w:eastAsia="Calibri" w:hAnsi="Times New Roman" w:cs="Times New Roman"/>
          <w:sz w:val="28"/>
          <w:szCs w:val="28"/>
        </w:rPr>
        <w:t>3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годах;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>динамика возвратов из бюджета налога на доходы физических лиц в результате применения налоговых вычетов в 202</w:t>
      </w:r>
      <w:r w:rsidR="00143BEB">
        <w:rPr>
          <w:rFonts w:ascii="Times New Roman" w:eastAsia="Calibri" w:hAnsi="Times New Roman" w:cs="Times New Roman"/>
          <w:sz w:val="28"/>
          <w:szCs w:val="28"/>
        </w:rPr>
        <w:t>2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43BEB">
        <w:rPr>
          <w:rFonts w:ascii="Times New Roman" w:eastAsia="Calibri" w:hAnsi="Times New Roman" w:cs="Times New Roman"/>
          <w:sz w:val="28"/>
          <w:szCs w:val="28"/>
        </w:rPr>
        <w:t>202</w:t>
      </w:r>
      <w:r w:rsidR="00143BEB">
        <w:rPr>
          <w:rFonts w:ascii="Times New Roman" w:eastAsia="Calibri" w:hAnsi="Times New Roman" w:cs="Times New Roman"/>
          <w:sz w:val="28"/>
          <w:szCs w:val="28"/>
        </w:rPr>
        <w:t>3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годах.</w:t>
      </w:r>
    </w:p>
    <w:p w:rsidR="00214207" w:rsidRPr="00143BEB" w:rsidRDefault="00214207" w:rsidP="00214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При подготовке проекта использовался рекомендованный </w:t>
      </w:r>
      <w:r w:rsidRPr="00143BE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дополнительный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норматив на 202</w:t>
      </w:r>
      <w:r w:rsidR="00143BEB">
        <w:rPr>
          <w:rFonts w:ascii="Times New Roman" w:eastAsia="Calibri" w:hAnsi="Times New Roman" w:cs="Times New Roman"/>
          <w:sz w:val="28"/>
          <w:szCs w:val="28"/>
        </w:rPr>
        <w:t>5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 – 23,</w:t>
      </w:r>
      <w:r w:rsidR="006167D5">
        <w:rPr>
          <w:rFonts w:ascii="Times New Roman" w:eastAsia="Calibri" w:hAnsi="Times New Roman" w:cs="Times New Roman"/>
          <w:sz w:val="28"/>
          <w:szCs w:val="28"/>
        </w:rPr>
        <w:t>7</w:t>
      </w:r>
      <w:r w:rsidRPr="00143BEB">
        <w:rPr>
          <w:rFonts w:ascii="Times New Roman" w:eastAsia="Calibri" w:hAnsi="Times New Roman" w:cs="Times New Roman"/>
          <w:sz w:val="28"/>
          <w:szCs w:val="28"/>
        </w:rPr>
        <w:t>6 %, на 202</w:t>
      </w:r>
      <w:r w:rsidR="006167D5">
        <w:rPr>
          <w:rFonts w:ascii="Times New Roman" w:eastAsia="Calibri" w:hAnsi="Times New Roman" w:cs="Times New Roman"/>
          <w:sz w:val="28"/>
          <w:szCs w:val="28"/>
        </w:rPr>
        <w:t>6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 – 23,</w:t>
      </w:r>
      <w:r w:rsidR="006167D5">
        <w:rPr>
          <w:rFonts w:ascii="Times New Roman" w:eastAsia="Calibri" w:hAnsi="Times New Roman" w:cs="Times New Roman"/>
          <w:sz w:val="28"/>
          <w:szCs w:val="28"/>
        </w:rPr>
        <w:t>96</w:t>
      </w:r>
      <w:r w:rsidRPr="00143BEB">
        <w:rPr>
          <w:rFonts w:ascii="Times New Roman" w:eastAsia="Calibri" w:hAnsi="Times New Roman" w:cs="Times New Roman"/>
          <w:sz w:val="28"/>
          <w:szCs w:val="28"/>
        </w:rPr>
        <w:t>%,  на 202</w:t>
      </w:r>
      <w:r w:rsidR="006167D5">
        <w:rPr>
          <w:rFonts w:ascii="Times New Roman" w:eastAsia="Calibri" w:hAnsi="Times New Roman" w:cs="Times New Roman"/>
          <w:sz w:val="28"/>
          <w:szCs w:val="28"/>
        </w:rPr>
        <w:t>7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="006167D5">
        <w:rPr>
          <w:rFonts w:ascii="Times New Roman" w:eastAsia="Calibri" w:hAnsi="Times New Roman" w:cs="Times New Roman"/>
          <w:sz w:val="28"/>
          <w:szCs w:val="28"/>
        </w:rPr>
        <w:t>4</w:t>
      </w:r>
      <w:r w:rsidRPr="00143BEB">
        <w:rPr>
          <w:rFonts w:ascii="Times New Roman" w:eastAsia="Calibri" w:hAnsi="Times New Roman" w:cs="Times New Roman"/>
          <w:sz w:val="28"/>
          <w:szCs w:val="28"/>
        </w:rPr>
        <w:t>,</w:t>
      </w:r>
      <w:r w:rsidR="006167D5">
        <w:rPr>
          <w:rFonts w:ascii="Times New Roman" w:eastAsia="Calibri" w:hAnsi="Times New Roman" w:cs="Times New Roman"/>
          <w:sz w:val="28"/>
          <w:szCs w:val="28"/>
        </w:rPr>
        <w:t>05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214207" w:rsidRPr="00E3288A" w:rsidRDefault="00214207" w:rsidP="00E3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объем доходов в бюджет Таштагольского муниципального района по НДФЛ составит в </w:t>
      </w:r>
      <w:r w:rsidRPr="00143BEB">
        <w:rPr>
          <w:rFonts w:ascii="Times New Roman" w:eastAsia="Calibri" w:hAnsi="Times New Roman" w:cs="Times New Roman"/>
          <w:sz w:val="28"/>
          <w:szCs w:val="28"/>
        </w:rPr>
        <w:t>202</w:t>
      </w:r>
      <w:r w:rsidR="006167D5">
        <w:rPr>
          <w:rFonts w:ascii="Times New Roman" w:eastAsia="Calibri" w:hAnsi="Times New Roman" w:cs="Times New Roman"/>
          <w:sz w:val="28"/>
          <w:szCs w:val="28"/>
        </w:rPr>
        <w:t xml:space="preserve">5 году </w:t>
      </w:r>
      <w:r w:rsidR="006F1ED2">
        <w:rPr>
          <w:rFonts w:ascii="Times New Roman" w:eastAsia="Calibri" w:hAnsi="Times New Roman" w:cs="Times New Roman"/>
          <w:sz w:val="28"/>
          <w:szCs w:val="28"/>
        </w:rPr>
        <w:t>483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6F1ED2">
        <w:rPr>
          <w:rFonts w:ascii="Times New Roman" w:eastAsia="Calibri" w:hAnsi="Times New Roman" w:cs="Times New Roman"/>
          <w:sz w:val="28"/>
          <w:szCs w:val="28"/>
        </w:rPr>
        <w:t>249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тыс. рублей,  в 202</w:t>
      </w:r>
      <w:r w:rsidR="006167D5">
        <w:rPr>
          <w:rFonts w:ascii="Times New Roman" w:eastAsia="Calibri" w:hAnsi="Times New Roman" w:cs="Times New Roman"/>
          <w:sz w:val="28"/>
          <w:szCs w:val="28"/>
        </w:rPr>
        <w:t>6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F1ED2">
        <w:rPr>
          <w:rFonts w:ascii="Times New Roman" w:eastAsia="Calibri" w:hAnsi="Times New Roman" w:cs="Times New Roman"/>
          <w:sz w:val="28"/>
          <w:szCs w:val="28"/>
        </w:rPr>
        <w:t xml:space="preserve">              518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6F1ED2">
        <w:rPr>
          <w:rFonts w:ascii="Times New Roman" w:eastAsia="Calibri" w:hAnsi="Times New Roman" w:cs="Times New Roman"/>
          <w:sz w:val="28"/>
          <w:szCs w:val="28"/>
        </w:rPr>
        <w:t>944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6F1ED2">
        <w:rPr>
          <w:rFonts w:ascii="Times New Roman" w:eastAsia="Calibri" w:hAnsi="Times New Roman" w:cs="Times New Roman"/>
          <w:sz w:val="28"/>
          <w:szCs w:val="28"/>
        </w:rPr>
        <w:t xml:space="preserve">. рублей, </w:t>
      </w:r>
      <w:r w:rsidRPr="00143BEB">
        <w:rPr>
          <w:rFonts w:ascii="Times New Roman" w:eastAsia="Calibri" w:hAnsi="Times New Roman" w:cs="Times New Roman"/>
          <w:sz w:val="28"/>
          <w:szCs w:val="28"/>
        </w:rPr>
        <w:t>в 202</w:t>
      </w:r>
      <w:r w:rsidR="006167D5">
        <w:rPr>
          <w:rFonts w:ascii="Times New Roman" w:eastAsia="Calibri" w:hAnsi="Times New Roman" w:cs="Times New Roman"/>
          <w:sz w:val="28"/>
          <w:szCs w:val="28"/>
        </w:rPr>
        <w:t>7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F1ED2">
        <w:rPr>
          <w:rFonts w:ascii="Times New Roman" w:eastAsia="Calibri" w:hAnsi="Times New Roman" w:cs="Times New Roman"/>
          <w:sz w:val="28"/>
          <w:szCs w:val="28"/>
        </w:rPr>
        <w:t>571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млн. </w:t>
      </w:r>
      <w:r w:rsidR="006F1ED2">
        <w:rPr>
          <w:rFonts w:ascii="Times New Roman" w:eastAsia="Calibri" w:hAnsi="Times New Roman" w:cs="Times New Roman"/>
          <w:sz w:val="28"/>
          <w:szCs w:val="28"/>
        </w:rPr>
        <w:t>019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тыс. рублей (в 202</w:t>
      </w:r>
      <w:r w:rsidR="006167D5">
        <w:rPr>
          <w:rFonts w:ascii="Times New Roman" w:eastAsia="Calibri" w:hAnsi="Times New Roman" w:cs="Times New Roman"/>
          <w:sz w:val="28"/>
          <w:szCs w:val="28"/>
        </w:rPr>
        <w:t>4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году ожидаемое поступление составит </w:t>
      </w:r>
      <w:r w:rsidR="006F1ED2">
        <w:rPr>
          <w:rFonts w:ascii="Times New Roman" w:eastAsia="Calibri" w:hAnsi="Times New Roman" w:cs="Times New Roman"/>
          <w:sz w:val="28"/>
          <w:szCs w:val="28"/>
        </w:rPr>
        <w:t>455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 млн. </w:t>
      </w:r>
      <w:r w:rsidR="006F1ED2">
        <w:rPr>
          <w:rFonts w:ascii="Times New Roman" w:eastAsia="Calibri" w:hAnsi="Times New Roman" w:cs="Times New Roman"/>
          <w:sz w:val="28"/>
          <w:szCs w:val="28"/>
        </w:rPr>
        <w:t>250</w:t>
      </w:r>
      <w:r w:rsidRPr="00143BEB">
        <w:rPr>
          <w:rFonts w:ascii="Times New Roman" w:eastAsia="Calibri" w:hAnsi="Times New Roman" w:cs="Times New Roman"/>
          <w:sz w:val="28"/>
          <w:szCs w:val="28"/>
        </w:rPr>
        <w:t xml:space="preserve"> тыс. рублей). </w:t>
      </w:r>
      <w:r w:rsidR="00E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4207" w:rsidRPr="006167D5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Межрайонной ИФНС России № 8 по Кемеровской области – Кузбассу (далее - налоговый орган) в отчетном периоде рост поступлений от НДФЛ связан с увеличением заработной платы работникам и ростом количества налогоплательщиков.</w:t>
      </w:r>
    </w:p>
    <w:p w:rsidR="00214207" w:rsidRPr="006167D5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крупные налогоплательщики зарегистрировались в Шерегешском городском поселен</w:t>
      </w:r>
      <w:proofErr w:type="gramStart"/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ООО</w:t>
      </w:r>
      <w:proofErr w:type="gramEnd"/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АСКАД-ЗАСТРОЙЩИК», ООО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МЕГАСТРОЙ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ООО «ДЮНА-СТРОЙ», ООО «СДС-СТРОЙ»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14207" w:rsidRPr="006167D5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не менее, в Казском городском поселении в 202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на предприят</w:t>
      </w:r>
      <w:proofErr w:type="gramStart"/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="0057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</w:t>
      </w:r>
      <w:proofErr w:type="gramEnd"/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«ЕВРАЗ ЗСМК» 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с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окра</w:t>
      </w:r>
      <w:r w:rsidR="00C3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щение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</w:t>
      </w:r>
      <w:r w:rsidR="0057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</w:t>
      </w:r>
      <w:r w:rsidR="0057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остановкой производства железорудного концентрата, шахта переходит в режим консервации. Планируемая численность персонала с 01.01.2025 года составит 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 человек, что способствует</w:t>
      </w:r>
      <w:r w:rsidRPr="0061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снижению НДФЛ. </w:t>
      </w:r>
    </w:p>
    <w:p w:rsidR="00214207" w:rsidRPr="006167D5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207" w:rsidRPr="00D47C08" w:rsidRDefault="00214207" w:rsidP="0021420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214207" w:rsidRPr="00D47C08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поступлений по </w:t>
      </w:r>
      <w:r w:rsidRPr="00D4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акцизам по подакцизным товарам (продукции), производимым на территории Российской Федерации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 на основе прогноза администратора доходов </w:t>
      </w:r>
      <w:r w:rsidRPr="00D47C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Межрайонной ИФНС России № 8 по Кемеровской области – Кузбассу с учетом динамики фактических поступлений и ожидаемой оценки за 202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214207" w:rsidRPr="00D47C08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Поступление по акцизам по подакцизным товарам (продукции), производимым на территории Российской Федерации, прогнозируется на 202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19973,0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21646,7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23095,5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6F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22667,8</w:t>
      </w:r>
      <w:r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214207" w:rsidRPr="00093996" w:rsidRDefault="00214207" w:rsidP="00214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07" w:rsidRPr="00093996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Налог, взимаемый в связи с применением упрощенной системы налогообложения</w:t>
      </w:r>
    </w:p>
    <w:p w:rsidR="00214207" w:rsidRPr="00093996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14207" w:rsidRPr="00093996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поступлений по налогу, взимаемому в связи с применением упрощенной системы налогообложения, составлен на основе прогноза администратора доходов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3996">
        <w:rPr>
          <w:rFonts w:ascii="Times New Roman" w:eastAsia="Calibri" w:hAnsi="Times New Roman" w:cs="Times New Roman"/>
          <w:sz w:val="28"/>
          <w:szCs w:val="28"/>
        </w:rPr>
        <w:t xml:space="preserve">ИФНС России №8 по Кемеровской области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Кузбассу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динамики фактических поступлений и ожидаемой оценки за 202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214207" w:rsidRPr="00093996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Поступление платежей по налогу, взимаемому в связи с применением упрощенной системы налогообложения, на 202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94000,0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471,8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0,5%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оценки 202</w:t>
      </w:r>
      <w:r w:rsid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100000,0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 тыс. рублей, на 202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0939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 тыс. рублей.</w:t>
      </w:r>
    </w:p>
    <w:p w:rsidR="00214207" w:rsidRPr="00093996" w:rsidRDefault="00B62B4D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214207"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планируемых поступлений налога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14207"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214207"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обусловлен</w:t>
      </w:r>
      <w:proofErr w:type="gramEnd"/>
      <w:r w:rsidR="00214207" w:rsidRPr="0009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прогнозируемым ростом налогоплательщиков, применяющих упрощенную систему налогообложения.</w:t>
      </w:r>
    </w:p>
    <w:p w:rsidR="00214207" w:rsidRPr="00FB7E23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14207" w:rsidRPr="00B62B4D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Налог, взимаемый в связи с применением  патентной системы налогообложения</w:t>
      </w:r>
    </w:p>
    <w:p w:rsidR="00214207" w:rsidRPr="00B62B4D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07" w:rsidRPr="00B62B4D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Патентный  налог зачисляется по нормативу 100% в бюджет муниципального района.</w:t>
      </w:r>
    </w:p>
    <w:p w:rsidR="00214207" w:rsidRPr="00B62B4D" w:rsidRDefault="00214207" w:rsidP="00214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поступления налога в районный бюджет сформирован на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13700,0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14728,0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15553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рублей;  на 202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16393</w:t>
      </w:r>
      <w:r w:rsidRPr="00B6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рублей.</w:t>
      </w:r>
    </w:p>
    <w:p w:rsidR="00214207" w:rsidRPr="00B62B4D" w:rsidRDefault="00214207" w:rsidP="0021420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поступлений по единому налогу, взимаемому в связи с применением патентной системы налогообложения, связано с увеличением количества налогоплательщиков.</w:t>
      </w:r>
    </w:p>
    <w:p w:rsidR="00214207" w:rsidRPr="00B62B4D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214207" w:rsidRPr="00B62B4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 поступлений го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сударственной пошлины составлен 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ожидаемой оценки 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поступлений за 2024 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и прогноза администраторов доходов </w:t>
      </w:r>
      <w:r w:rsidRPr="00B62B4D">
        <w:rPr>
          <w:rFonts w:ascii="Times New Roman" w:eastAsia="Calibri" w:hAnsi="Times New Roman" w:cs="Times New Roman"/>
          <w:sz w:val="28"/>
          <w:szCs w:val="28"/>
        </w:rPr>
        <w:t xml:space="preserve">ИФНС России №8 по Кемеровской области 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Кузбассу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14207" w:rsidRPr="00B62B4D" w:rsidRDefault="00214207" w:rsidP="00214207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объем поступлений государственной пошлины в бюджет  Таштагольского муниципального района прогнозируется на 202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10212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на 202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2B4D"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>10435</w:t>
      </w:r>
      <w:r w:rsidRPr="00B62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 тыс. рублей, </w:t>
      </w:r>
      <w:r w:rsidR="00B62B4D"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 –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B4D"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10640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</w:t>
      </w:r>
      <w:r w:rsidR="00B62B4D"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62B4D"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10865</w:t>
      </w:r>
      <w:r w:rsidRPr="00B62B4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214207" w:rsidRPr="00FB7E23" w:rsidRDefault="00214207" w:rsidP="00910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14207" w:rsidRPr="0073205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Доходы, от использования имущества, находящегося в</w:t>
      </w:r>
      <w:r w:rsidR="00732057" w:rsidRPr="0073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 муниципальной собственности</w:t>
      </w:r>
    </w:p>
    <w:p w:rsidR="00214207" w:rsidRPr="0073205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07" w:rsidRPr="00732057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от использования имущества, находящегося в государственной собственности Таштагольского района планируются администраторами доходов КУМИ с учетом динамики поступлений платежей в районный бюджет, изменения доходной базы (реализации имущества, находящегося в государственной собственности, продажа земельных участков, заключение новых договоров аренды </w:t>
      </w:r>
      <w:r w:rsidRPr="00732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земли и имущества, индексация ставок арендной платы, прибыли государственных предприятий). </w:t>
      </w:r>
    </w:p>
    <w:p w:rsidR="00214207" w:rsidRPr="00732057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от использования имущества, находящегося в государственной и муниципальной</w:t>
      </w:r>
      <w:r w:rsid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включают в себя </w:t>
      </w:r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платежи:</w:t>
      </w:r>
    </w:p>
    <w:p w:rsidR="00214207" w:rsidRPr="00732057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 за земельные участки,</w:t>
      </w:r>
      <w:r w:rsidRPr="0073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прогнозируются на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2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966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на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29815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на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30125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на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30440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 тыс. рублей; </w:t>
      </w:r>
      <w:proofErr w:type="gramEnd"/>
    </w:p>
    <w:p w:rsidR="00214207" w:rsidRPr="0073205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</w:t>
      </w:r>
      <w:r w:rsidRPr="00732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средства от продажи права на заключение договоров за земли, находящиеся в собственности</w:t>
      </w:r>
      <w:r w:rsidRPr="00732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20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прогнозируются в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сумме 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52558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в  202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35185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35360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F30FA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35635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рублей. Снижение данного дохода в 202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обусловлено тем, что ООО </w:t>
      </w:r>
      <w:r w:rsidR="00732057"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ХП "КОРПОРАЦИЯ РАЗВИТИЯ КУРОРТНОЙ ЗОНЫ ШЕРЕГЕШ"</w:t>
      </w:r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оплатили задолженность за 2023 год в размере 11386,1 тыс</w:t>
      </w:r>
      <w:proofErr w:type="gramStart"/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 и 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69A3" w:rsidRP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"Аквапарк Горы Зеленой"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также оплатили задолженность за 2022-2023 годы в размере                           5044,0 тыс.рублей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214207" w:rsidRPr="0073205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от сдачи в аренду имущества</w:t>
      </w:r>
      <w:r w:rsidRPr="007320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находящегося в оперативном управлении органов управления муниципальных районов и созданных ими учреждений (за исключением имущества автономных учреждений). Ожидаемое поступление доходов по арендной плате имущества в районный бюджет составит в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сумме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10300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в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10400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10500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10600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рублей;</w:t>
      </w:r>
    </w:p>
    <w:p w:rsidR="00214207" w:rsidRPr="0073205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от платы по соглашениям об установлении сервитута в отношении земельных участков, находящихся в государственной и муниципальной собственности. Ожидаемое поступление доходов в районный бюджет составит в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сумме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2300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в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5 году 1300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1315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1325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рублей;</w:t>
      </w:r>
    </w:p>
    <w:p w:rsidR="00214207" w:rsidRPr="0073205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от перечисления части прибыли, остающейся после уплаты налогов и иных обязательных платежей государственных унитарных предприятий Таштагольского района рассчитаны исходя из поступлений за прошлые года, прогнозируются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0 тыс. рублей, 202</w:t>
      </w:r>
      <w:r w:rsidR="002A69A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32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0 тыс. рублей.</w:t>
      </w:r>
      <w:proofErr w:type="gramEnd"/>
    </w:p>
    <w:p w:rsidR="00214207" w:rsidRPr="0073205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732057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207" w:rsidRPr="00381312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 за негативное воздействие на окружающую среду</w:t>
      </w:r>
    </w:p>
    <w:p w:rsidR="00214207" w:rsidRPr="00381312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381312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 администратором доходов платы за негативное воздействие на окружающую среду  является  Южно-Сибирское межрегиональное управление Росприроднадзора.</w:t>
      </w:r>
    </w:p>
    <w:p w:rsidR="00214207" w:rsidRPr="00381312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прогнозных поступлений выполнен на 2023 –</w:t>
      </w:r>
      <w:r w:rsidR="00E14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2026 гг. – по нормативу </w:t>
      </w:r>
      <w:r w:rsidRPr="00381312">
        <w:rPr>
          <w:rFonts w:ascii="Times New Roman" w:eastAsia="Times New Roman" w:hAnsi="Times New Roman" w:cs="Times New Roman"/>
          <w:sz w:val="28"/>
          <w:szCs w:val="24"/>
          <w:lang w:eastAsia="ru-RU"/>
        </w:rPr>
        <w:t>60% с использованием индексов потребительных цен, установленных Минэкономразвития России, согласно прогнозируемому периоду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поступления платежей по прогнозу составит: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42146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тыс.рублей;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41580,7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41580,7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41580,7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4"/>
          <w:lang w:eastAsia="ru-RU"/>
        </w:rPr>
        <w:t>Южно-Сибирское межрегиональное управление Росприроднадзора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разъясняет, что увеличение поступлений в 2023 году по КБК 04811201030016000120 в сравнении с поступлениями прошлых лет связано с реконструкцией и временным изменением технологических процессов в филиале АО «ЕВРАЗ объединенный ЗСМК»- «Евразруда».</w:t>
      </w:r>
    </w:p>
    <w:p w:rsidR="00214207" w:rsidRPr="00FB7E23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14207" w:rsidRPr="00381312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доходы от оказания платных услуг  и компенсации затрат государства</w:t>
      </w:r>
    </w:p>
    <w:p w:rsidR="00214207" w:rsidRPr="00381312" w:rsidRDefault="00214207" w:rsidP="0021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поступление доходов  от оказания платных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 2024 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составит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17950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тыс.рублей.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прогнозных данных администраторов доходов планируемый объем поступления платежей составит: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19072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тыс.рублей,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19868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тыс.рублей,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19968</w:t>
      </w:r>
      <w:r w:rsidRPr="0038131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тыс.рублей.</w:t>
      </w:r>
    </w:p>
    <w:p w:rsidR="00214207" w:rsidRPr="00381312" w:rsidRDefault="00214207" w:rsidP="0021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07" w:rsidRPr="00E14B43" w:rsidRDefault="00214207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продажи материальных и нематериальных активов</w:t>
      </w:r>
    </w:p>
    <w:p w:rsidR="00214207" w:rsidRPr="00E14B43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B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составе неналоговых доходов районного бюджета учтены доходы от продажи материальных и нематериальных активов, которые планируются администраторам доходов КУМИ.</w:t>
      </w:r>
    </w:p>
    <w:p w:rsidR="00214207" w:rsidRPr="00E14B43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 доходы от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материальных и нематериальных активов на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включают следующие виды доходов:</w:t>
      </w:r>
    </w:p>
    <w:p w:rsidR="00214207" w:rsidRPr="00E14B43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земельных участков, государственная собственность на которые не разграничена, прогнозируются на 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31418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сумме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18438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17342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тыс.рублей, на 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15518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тыс.рублей;</w:t>
      </w:r>
      <w:r w:rsidRPr="00E1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4207" w:rsidRDefault="00214207" w:rsidP="006B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иного имущества, находящегося в собственности муниципальных районов продажи муниципального имущества прогнозируются в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B67D2">
        <w:rPr>
          <w:rFonts w:ascii="Times New Roman" w:eastAsia="Times New Roman" w:hAnsi="Times New Roman" w:cs="Times New Roman"/>
          <w:sz w:val="28"/>
          <w:szCs w:val="28"/>
          <w:lang w:eastAsia="ru-RU"/>
        </w:rPr>
        <w:t>12430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в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B67D2">
        <w:rPr>
          <w:rFonts w:ascii="Times New Roman" w:eastAsia="Times New Roman" w:hAnsi="Times New Roman" w:cs="Times New Roman"/>
          <w:sz w:val="28"/>
          <w:szCs w:val="28"/>
          <w:lang w:eastAsia="ru-RU"/>
        </w:rPr>
        <w:t>2070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тыс.рублей, в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B67D2">
        <w:rPr>
          <w:rFonts w:ascii="Times New Roman" w:eastAsia="Times New Roman" w:hAnsi="Times New Roman" w:cs="Times New Roman"/>
          <w:sz w:val="28"/>
          <w:szCs w:val="28"/>
          <w:lang w:eastAsia="ru-RU"/>
        </w:rPr>
        <w:t>2090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тыс.рублей, в 202</w:t>
      </w:r>
      <w:r w:rsid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B67D2">
        <w:rPr>
          <w:rFonts w:ascii="Times New Roman" w:eastAsia="Times New Roman" w:hAnsi="Times New Roman" w:cs="Times New Roman"/>
          <w:sz w:val="28"/>
          <w:szCs w:val="28"/>
          <w:lang w:eastAsia="ru-RU"/>
        </w:rPr>
        <w:t>2095,0 тыс.рублей.</w:t>
      </w:r>
    </w:p>
    <w:p w:rsidR="006B67D2" w:rsidRPr="006B67D2" w:rsidRDefault="006B67D2" w:rsidP="006B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07" w:rsidRPr="00EF6287" w:rsidRDefault="00214207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Штрафы, санкции, возмещение ущерба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районного бюджета по поступлению штрафов, санкций и возмещению ущерба планируются от ожидаемого поступления  202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составят: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63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80,0 тыс.</w:t>
      </w:r>
      <w:r w:rsidR="00BD4C8C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рублей;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2428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</w:t>
      </w:r>
      <w:r w:rsidR="00BD4C8C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рублей; 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2466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</w:t>
      </w:r>
      <w:r w:rsidR="00BD4C8C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рублей;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F6287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2505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</w:t>
      </w:r>
      <w:r w:rsidR="00BD4C8C"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628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рублей.</w:t>
      </w: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EF628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2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Штрафы, санкции, возмещение ущерба являются нерегулярными платежами и поступают по фактическому начислению.</w:t>
      </w:r>
    </w:p>
    <w:p w:rsidR="00214207" w:rsidRPr="00FB7E23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4207" w:rsidRPr="00E7447B" w:rsidRDefault="00214207" w:rsidP="00214207">
      <w:pPr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неналоговые доходы</w:t>
      </w:r>
    </w:p>
    <w:p w:rsidR="00214207" w:rsidRPr="00E7447B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районного бюджета по поступлению прочих неналоговых доходов планир</w:t>
      </w:r>
      <w:r w:rsidR="00E82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уются от ожидаемого поступления 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91067E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составят:</w:t>
      </w:r>
    </w:p>
    <w:p w:rsidR="00214207" w:rsidRPr="00E7447B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91067E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7447B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0,0 тыс. рублей;</w:t>
      </w:r>
    </w:p>
    <w:p w:rsidR="00214207" w:rsidRPr="00E7447B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202</w:t>
      </w:r>
      <w:r w:rsidR="0091067E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7447B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0,0 тыс. рублей; </w:t>
      </w:r>
    </w:p>
    <w:p w:rsidR="00214207" w:rsidRPr="00E7447B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91067E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7447B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485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рублей;</w:t>
      </w: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91067E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="00E7447B"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490</w:t>
      </w:r>
      <w:r w:rsidRPr="00E7447B">
        <w:rPr>
          <w:rFonts w:ascii="Times New Roman" w:eastAsia="Times New Roman" w:hAnsi="Times New Roman" w:cs="Times New Roman"/>
          <w:sz w:val="28"/>
          <w:szCs w:val="24"/>
          <w:lang w:eastAsia="ru-RU"/>
        </w:rPr>
        <w:t>,0 тыс. рублей.</w:t>
      </w:r>
    </w:p>
    <w:p w:rsidR="00D262F6" w:rsidRPr="00CC1F9B" w:rsidRDefault="00D262F6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4C1D85" w:rsidRDefault="006F19C6" w:rsidP="006F19C6">
      <w:pPr>
        <w:pStyle w:val="a5"/>
        <w:spacing w:after="0"/>
        <w:ind w:left="2124"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</w:t>
      </w:r>
      <w:r w:rsidR="00214207">
        <w:rPr>
          <w:b/>
          <w:bCs/>
          <w:szCs w:val="28"/>
        </w:rPr>
        <w:t>Расходы бюджета</w:t>
      </w:r>
    </w:p>
    <w:p w:rsidR="00214207" w:rsidRPr="00001617" w:rsidRDefault="00C16AC0" w:rsidP="00C16AC0">
      <w:pPr>
        <w:pStyle w:val="a5"/>
        <w:spacing w:after="0"/>
        <w:ind w:left="142" w:firstLine="566"/>
        <w:jc w:val="both"/>
        <w:rPr>
          <w:b/>
          <w:bCs/>
          <w:szCs w:val="28"/>
          <w:u w:val="single"/>
        </w:rPr>
      </w:pPr>
      <w:r>
        <w:rPr>
          <w:szCs w:val="28"/>
        </w:rPr>
        <w:t xml:space="preserve">Формирование расходной части бюджета осуществлялось в соответствии с  порядком и методикой планирования бюджетных ассигнований бюджета Таштагольского муниципального района, утвержденной Таштагольского муниципального района  постановлением  «О реализации норм Бюджетного кодекса Российской Федерации от 23.11.2018 № 961-п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приложение №8).</w:t>
      </w:r>
    </w:p>
    <w:p w:rsidR="00214207" w:rsidRPr="006A111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бюджета муниципального образования «Таштагольский муниципальный район» прогнозируются:</w:t>
      </w:r>
    </w:p>
    <w:p w:rsidR="00214207" w:rsidRPr="006A111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млрд.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402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млн.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397,50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0E70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рублей.</w:t>
      </w: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размере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млрд.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055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млн.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880,20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D46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рублей.</w:t>
      </w:r>
    </w:p>
    <w:p w:rsidR="00FB7E23" w:rsidRPr="006A111D" w:rsidRDefault="00FB7E23" w:rsidP="00F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млрд.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053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млн.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640,40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0E70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111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B7E23" w:rsidRPr="006A111D" w:rsidRDefault="00FB7E23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B00668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5047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бюджета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50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сформированы исходя из объема действующих расходных обязательств в </w:t>
      </w:r>
      <w:r w:rsidRPr="0095047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504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>, с учетом необходимости безусловного исполнения всех принятых публично нормативных обязательств, сохранения мер социальной поддержки населения с применением принципа адресности и нуждаемости, реализации майских Указов Президента Российской Федерации, реализации решений, принятых и планируемых к принятию на очередной финансовый год</w:t>
      </w:r>
      <w:proofErr w:type="gramEnd"/>
    </w:p>
    <w:p w:rsidR="00214207" w:rsidRPr="00B00668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бюджета на 202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43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 рассчитываются в условиях жесткой экономии бюджетных средств.</w:t>
      </w:r>
    </w:p>
    <w:p w:rsidR="00214207" w:rsidRPr="00B00668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объеме расходов планируются переданные полномочия из областного бюджета, а также из бюджетов городских и сельских поселений.</w:t>
      </w:r>
    </w:p>
    <w:p w:rsidR="00214207" w:rsidRPr="004F6839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839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работников бюджетной сферы планируется:</w:t>
      </w:r>
    </w:p>
    <w:p w:rsidR="00214207" w:rsidRPr="004F6839" w:rsidRDefault="00FB7E23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 полном  объеме</w:t>
      </w:r>
      <w:r w:rsidR="00214207" w:rsidRPr="004F6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связи с недостаточностью доходной базы района. </w:t>
      </w:r>
    </w:p>
    <w:p w:rsidR="00214207" w:rsidRPr="004F6839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83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Муниципальные программы планируются на основании проектов о внесении изменений в постановления Администрации Таштагольского муниципального района.</w:t>
      </w:r>
      <w:r w:rsidR="00EE358E" w:rsidRPr="00EE358E">
        <w:rPr>
          <w:sz w:val="28"/>
          <w:szCs w:val="28"/>
        </w:rPr>
        <w:t xml:space="preserve"> </w:t>
      </w:r>
      <w:r w:rsidR="00EE358E" w:rsidRPr="00EE3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проекте бюджета предусмотрены средства на реализацию </w:t>
      </w:r>
      <w:r w:rsidR="00EE3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="00EE358E" w:rsidRPr="00EE358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проектов, направленных на достижение соответствующих результатов реализации федеральных</w:t>
      </w:r>
      <w:r w:rsidR="00EE358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E358E" w:rsidRPr="00EE3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региональных проектов, обеспечивающих достижение национальных целей развития Российской Федерации на период до 2030 года, поставленных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14207" w:rsidRPr="00AB0679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8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F6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предусмотрено финансирование 2</w:t>
      </w:r>
      <w:r w:rsidR="00AB0679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программ Таштагольского муниципального района</w:t>
      </w:r>
      <w:r w:rsidR="00EE358E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358E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бщий объем</w:t>
      </w:r>
      <w:r w:rsidR="00EE358E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на реализацию 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реализацию</w:t>
      </w:r>
      <w:r w:rsidR="00EE358E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программ 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составляет:</w:t>
      </w:r>
    </w:p>
    <w:p w:rsidR="00214207" w:rsidRPr="00AB0679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2025 год –</w:t>
      </w:r>
      <w:r w:rsidR="00AB0679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3211446.60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</w:t>
      </w:r>
    </w:p>
    <w:p w:rsidR="00214207" w:rsidRPr="00AB0679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2026 год – </w:t>
      </w:r>
      <w:r w:rsidR="00AB0679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2881143.40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FB7E23" w:rsidRPr="00AB0679" w:rsidRDefault="00FB7E23" w:rsidP="00F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2027 год – </w:t>
      </w:r>
      <w:r w:rsidR="00AB0679"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>2848072.60</w:t>
      </w:r>
      <w:r w:rsidRPr="00AB0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FB7E23" w:rsidRPr="00AB0679" w:rsidRDefault="00FB7E23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58E" w:rsidRDefault="00214207" w:rsidP="00EE358E">
      <w:pPr>
        <w:pStyle w:val="Default"/>
        <w:ind w:firstLine="708"/>
        <w:rPr>
          <w:sz w:val="28"/>
          <w:szCs w:val="28"/>
        </w:rPr>
      </w:pPr>
      <w:r w:rsidRPr="00AB0679">
        <w:rPr>
          <w:rFonts w:eastAsia="Times New Roman"/>
          <w:sz w:val="28"/>
          <w:lang w:eastAsia="ru-RU"/>
        </w:rPr>
        <w:t>Доля программных расходов бюджета на 202</w:t>
      </w:r>
      <w:r w:rsidR="00FB7E23" w:rsidRPr="00AB0679">
        <w:rPr>
          <w:rFonts w:eastAsia="Times New Roman"/>
          <w:sz w:val="28"/>
          <w:lang w:eastAsia="ru-RU"/>
        </w:rPr>
        <w:t>5</w:t>
      </w:r>
      <w:r w:rsidRPr="00AB0679">
        <w:rPr>
          <w:rFonts w:eastAsia="Times New Roman"/>
          <w:sz w:val="28"/>
          <w:lang w:eastAsia="ru-RU"/>
        </w:rPr>
        <w:t xml:space="preserve"> год составила </w:t>
      </w:r>
      <w:r w:rsidR="00AB0679" w:rsidRPr="00AB0679">
        <w:rPr>
          <w:rFonts w:eastAsia="Times New Roman"/>
          <w:sz w:val="28"/>
          <w:lang w:eastAsia="ru-RU"/>
        </w:rPr>
        <w:t>94.39</w:t>
      </w:r>
      <w:r w:rsidRPr="00AB0679">
        <w:rPr>
          <w:rFonts w:eastAsia="Times New Roman"/>
          <w:sz w:val="28"/>
          <w:lang w:eastAsia="ru-RU"/>
        </w:rPr>
        <w:t xml:space="preserve">%. </w:t>
      </w:r>
      <w:r w:rsidR="00D262F6" w:rsidRPr="00AB0679">
        <w:rPr>
          <w:rFonts w:eastAsia="Times New Roman"/>
          <w:sz w:val="28"/>
          <w:lang w:eastAsia="ru-RU"/>
        </w:rPr>
        <w:tab/>
      </w:r>
      <w:r w:rsidR="00D262F6" w:rsidRPr="00AB0679">
        <w:rPr>
          <w:rFonts w:eastAsia="Times New Roman"/>
          <w:sz w:val="28"/>
          <w:lang w:eastAsia="ru-RU"/>
        </w:rPr>
        <w:tab/>
      </w:r>
      <w:r w:rsidR="00EE358E" w:rsidRPr="00AB0679">
        <w:rPr>
          <w:sz w:val="28"/>
          <w:szCs w:val="28"/>
        </w:rPr>
        <w:t xml:space="preserve">Реализация муниципальных проектов </w:t>
      </w:r>
      <w:r w:rsidR="00EE358E" w:rsidRPr="00AB0679">
        <w:rPr>
          <w:rFonts w:eastAsia="Times New Roman"/>
          <w:sz w:val="28"/>
          <w:lang w:eastAsia="ru-RU"/>
        </w:rPr>
        <w:t>Таштагольского муниципального района</w:t>
      </w:r>
      <w:r w:rsidR="00EE358E" w:rsidRPr="00AB0679">
        <w:rPr>
          <w:sz w:val="28"/>
          <w:szCs w:val="28"/>
        </w:rPr>
        <w:t xml:space="preserve"> осуществляется в рамках утвержденных  муниципальных программ </w:t>
      </w:r>
      <w:r w:rsidR="00EE358E" w:rsidRPr="00AB0679">
        <w:rPr>
          <w:rFonts w:eastAsia="Times New Roman"/>
          <w:sz w:val="28"/>
          <w:lang w:eastAsia="ru-RU"/>
        </w:rPr>
        <w:t>Таштагольского муниципального района</w:t>
      </w:r>
      <w:r w:rsidR="00EE358E" w:rsidRPr="00AB0679">
        <w:rPr>
          <w:sz w:val="28"/>
          <w:szCs w:val="28"/>
        </w:rPr>
        <w:t>.</w:t>
      </w:r>
      <w:r w:rsidR="00EE358E">
        <w:rPr>
          <w:sz w:val="28"/>
          <w:szCs w:val="28"/>
        </w:rPr>
        <w:t xml:space="preserve"> </w:t>
      </w:r>
    </w:p>
    <w:p w:rsidR="00214207" w:rsidRPr="00711C2E" w:rsidRDefault="00EE358E" w:rsidP="00EE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5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об объемах бюджетных ассигнований местного бюджета на реализацию муниципальных  программ представлена ниже</w:t>
      </w:r>
      <w:r w:rsidR="00D262F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E358E" w:rsidRDefault="00EE358E" w:rsidP="002142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Pr="00711C2E" w:rsidRDefault="00214207" w:rsidP="002142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1C2E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</w:t>
      </w:r>
    </w:p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4977"/>
        <w:gridCol w:w="1783"/>
        <w:gridCol w:w="1984"/>
        <w:gridCol w:w="2161"/>
      </w:tblGrid>
      <w:tr w:rsidR="00AB0679" w:rsidRPr="00AB0679" w:rsidTr="00AB0679">
        <w:trPr>
          <w:trHeight w:val="795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программы</w:t>
            </w:r>
            <w:bookmarkStart w:id="0" w:name="_GoBack"/>
            <w:bookmarkEnd w:id="0"/>
          </w:p>
        </w:tc>
        <w:tc>
          <w:tcPr>
            <w:tcW w:w="59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бюджета Таштагольского муниципального района</w:t>
            </w:r>
          </w:p>
        </w:tc>
      </w:tr>
      <w:tr w:rsidR="00AB0679" w:rsidRPr="00AB0679" w:rsidTr="00AB0679">
        <w:trPr>
          <w:trHeight w:val="1137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2026 год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2027 год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1 429 230,10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1 434 098,00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1 432 675,77  </w:t>
            </w:r>
          </w:p>
        </w:tc>
      </w:tr>
      <w:tr w:rsidR="00AB0679" w:rsidRPr="00AB0679" w:rsidTr="00AB0679">
        <w:trPr>
          <w:trHeight w:val="3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362,00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362,00  </w:t>
            </w:r>
          </w:p>
        </w:tc>
      </w:tr>
      <w:tr w:rsidR="00AB0679" w:rsidRPr="00AB0679" w:rsidTr="00AB0679">
        <w:trPr>
          <w:trHeight w:val="18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38 940,75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25 063,95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12 559,54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260 149,50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259 278,10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259 278,10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10,00  </w:t>
            </w:r>
          </w:p>
        </w:tc>
      </w:tr>
      <w:tr w:rsidR="00AB0679" w:rsidRPr="00AB0679" w:rsidTr="00AB0679">
        <w:trPr>
          <w:trHeight w:val="7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"Антитеррор"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11 434,71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6 251,51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AB0679" w:rsidRPr="00AB0679" w:rsidTr="00AB0679">
        <w:trPr>
          <w:trHeight w:val="152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21 283,10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21 283,10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12 835,30  </w:t>
            </w:r>
          </w:p>
        </w:tc>
      </w:tr>
      <w:tr w:rsidR="00AB0679" w:rsidRPr="00AB0679" w:rsidTr="00AB0679">
        <w:trPr>
          <w:trHeight w:val="11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120,00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188 051,04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72 155,20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72 155,20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30,00  </w:t>
            </w:r>
          </w:p>
        </w:tc>
      </w:tr>
      <w:tr w:rsidR="00AB0679" w:rsidRPr="00AB0679" w:rsidTr="00AB0679">
        <w:trPr>
          <w:trHeight w:val="15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</w:t>
            </w:r>
            <w:proofErr w:type="spellStart"/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шорского</w:t>
            </w:r>
            <w:proofErr w:type="spellEnd"/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народа"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111,00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111,00  </w:t>
            </w:r>
          </w:p>
        </w:tc>
      </w:tr>
      <w:tr w:rsidR="00AB0679" w:rsidRPr="00AB0679" w:rsidTr="00AB0679">
        <w:trPr>
          <w:trHeight w:val="5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500,00  </w:t>
            </w:r>
          </w:p>
        </w:tc>
      </w:tr>
      <w:tr w:rsidR="00AB0679" w:rsidRPr="00AB0679" w:rsidTr="00AB0679">
        <w:trPr>
          <w:trHeight w:val="11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636,10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636,10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60,00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279 571,52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274 455,71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274 455,71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184 191,00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183 691,70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183 691,70  </w:t>
            </w:r>
          </w:p>
        </w:tc>
      </w:tr>
      <w:tr w:rsidR="00AB0679" w:rsidRPr="00AB0679" w:rsidTr="00AB0679">
        <w:trPr>
          <w:trHeight w:val="26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500,00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</w:t>
            </w:r>
            <w:proofErr w:type="gramEnd"/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"Жилищно-коммунальный комплекс"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34 464,40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49 164,40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40 042,90  </w:t>
            </w:r>
          </w:p>
        </w:tc>
      </w:tr>
      <w:tr w:rsidR="00AB0679" w:rsidRPr="00AB0679" w:rsidTr="00AB0679">
        <w:trPr>
          <w:trHeight w:val="15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400,00  </w:t>
            </w:r>
          </w:p>
        </w:tc>
      </w:tr>
      <w:tr w:rsidR="00AB0679" w:rsidRPr="00AB0679" w:rsidTr="00AB0679">
        <w:trPr>
          <w:trHeight w:val="15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63,00  </w:t>
            </w:r>
          </w:p>
        </w:tc>
      </w:tr>
      <w:tr w:rsidR="00AB0679" w:rsidRPr="00AB0679" w:rsidTr="00AB0679">
        <w:trPr>
          <w:trHeight w:val="22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556 110,39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457 902,60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464 479,44  </w:t>
            </w:r>
          </w:p>
        </w:tc>
      </w:tr>
      <w:tr w:rsidR="00AB0679" w:rsidRPr="00AB0679" w:rsidTr="00AB0679">
        <w:trPr>
          <w:trHeight w:val="11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166 199,99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94 668,02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92 767,80  </w:t>
            </w:r>
          </w:p>
        </w:tc>
      </w:tr>
      <w:tr w:rsidR="00AB0679" w:rsidRPr="00AB0679" w:rsidTr="00AB0679">
        <w:trPr>
          <w:trHeight w:val="7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339,00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0679" w:rsidRPr="00AB0679" w:rsidRDefault="00AB0679" w:rsidP="00AB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339,00  </w:t>
            </w:r>
          </w:p>
        </w:tc>
      </w:tr>
    </w:tbl>
    <w:p w:rsidR="009E5CF9" w:rsidRDefault="009E5CF9" w:rsidP="00602AE5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E5CF9" w:rsidRDefault="009E5CF9" w:rsidP="00602AE5">
      <w:pPr>
        <w:pStyle w:val="Default"/>
        <w:jc w:val="center"/>
        <w:rPr>
          <w:b/>
          <w:bCs/>
          <w:sz w:val="28"/>
          <w:szCs w:val="28"/>
        </w:rPr>
      </w:pPr>
    </w:p>
    <w:p w:rsidR="00AB0679" w:rsidRDefault="00AB0679" w:rsidP="00602AE5">
      <w:pPr>
        <w:pStyle w:val="Default"/>
        <w:jc w:val="center"/>
        <w:rPr>
          <w:b/>
          <w:bCs/>
          <w:sz w:val="28"/>
          <w:szCs w:val="28"/>
        </w:rPr>
      </w:pPr>
    </w:p>
    <w:p w:rsidR="00AB0679" w:rsidRDefault="00AB0679" w:rsidP="00602AE5">
      <w:pPr>
        <w:pStyle w:val="Default"/>
        <w:jc w:val="center"/>
        <w:rPr>
          <w:b/>
          <w:bCs/>
          <w:sz w:val="28"/>
          <w:szCs w:val="28"/>
        </w:rPr>
      </w:pPr>
    </w:p>
    <w:p w:rsidR="00AB0679" w:rsidRDefault="00AB0679" w:rsidP="00602AE5">
      <w:pPr>
        <w:pStyle w:val="Default"/>
        <w:jc w:val="center"/>
        <w:rPr>
          <w:b/>
          <w:bCs/>
          <w:sz w:val="28"/>
          <w:szCs w:val="28"/>
        </w:rPr>
      </w:pPr>
    </w:p>
    <w:p w:rsidR="00AB0679" w:rsidRDefault="00AB0679" w:rsidP="00602AE5">
      <w:pPr>
        <w:pStyle w:val="Default"/>
        <w:jc w:val="center"/>
        <w:rPr>
          <w:b/>
          <w:bCs/>
          <w:sz w:val="28"/>
          <w:szCs w:val="28"/>
        </w:rPr>
      </w:pPr>
    </w:p>
    <w:p w:rsidR="00AB0679" w:rsidRPr="00AB0679" w:rsidRDefault="00AB0679" w:rsidP="00602AE5">
      <w:pPr>
        <w:pStyle w:val="Default"/>
        <w:jc w:val="center"/>
        <w:rPr>
          <w:b/>
          <w:bCs/>
          <w:sz w:val="28"/>
          <w:szCs w:val="28"/>
        </w:rPr>
      </w:pPr>
    </w:p>
    <w:p w:rsidR="00602AE5" w:rsidRDefault="00602AE5" w:rsidP="00602A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Непрограммное направление деятельности</w:t>
      </w:r>
    </w:p>
    <w:p w:rsidR="00BD4C8C" w:rsidRDefault="00BD4C8C" w:rsidP="00602AE5">
      <w:pPr>
        <w:pStyle w:val="Default"/>
        <w:jc w:val="center"/>
        <w:rPr>
          <w:sz w:val="28"/>
          <w:szCs w:val="28"/>
        </w:rPr>
      </w:pPr>
    </w:p>
    <w:p w:rsidR="00602AE5" w:rsidRPr="00F94A65" w:rsidRDefault="00602AE5" w:rsidP="00BD4C8C">
      <w:pPr>
        <w:pStyle w:val="Default"/>
        <w:ind w:firstLine="708"/>
        <w:rPr>
          <w:rFonts w:eastAsia="Times New Roman"/>
          <w:color w:val="auto"/>
          <w:sz w:val="28"/>
          <w:lang w:eastAsia="ru-RU"/>
        </w:rPr>
      </w:pPr>
      <w:r w:rsidRPr="00F94A65">
        <w:rPr>
          <w:rFonts w:eastAsia="Times New Roman"/>
          <w:color w:val="auto"/>
          <w:sz w:val="28"/>
          <w:lang w:eastAsia="ru-RU"/>
        </w:rPr>
        <w:t xml:space="preserve">Общий объем средств на реализацию непрограммного направления деятельности </w:t>
      </w:r>
      <w:r w:rsidR="00AB0679" w:rsidRPr="00AB0679">
        <w:rPr>
          <w:rFonts w:eastAsia="Times New Roman"/>
          <w:color w:val="auto"/>
          <w:sz w:val="28"/>
          <w:lang w:eastAsia="ru-RU"/>
        </w:rPr>
        <w:t>(</w:t>
      </w:r>
      <w:r w:rsidR="00AB0679">
        <w:rPr>
          <w:rFonts w:eastAsia="Times New Roman"/>
          <w:color w:val="auto"/>
          <w:sz w:val="28"/>
          <w:lang w:eastAsia="ru-RU"/>
        </w:rPr>
        <w:t xml:space="preserve">в том числе условно-утвержденные расходы на плановые периоды 2026/2027 </w:t>
      </w:r>
      <w:proofErr w:type="spellStart"/>
      <w:r w:rsidR="00AB0679">
        <w:rPr>
          <w:rFonts w:eastAsia="Times New Roman"/>
          <w:color w:val="auto"/>
          <w:sz w:val="28"/>
          <w:lang w:eastAsia="ru-RU"/>
        </w:rPr>
        <w:t>г.г</w:t>
      </w:r>
      <w:proofErr w:type="spellEnd"/>
      <w:r w:rsidR="00AB0679">
        <w:rPr>
          <w:rFonts w:eastAsia="Times New Roman"/>
          <w:color w:val="auto"/>
          <w:sz w:val="28"/>
          <w:lang w:eastAsia="ru-RU"/>
        </w:rPr>
        <w:t xml:space="preserve">.) </w:t>
      </w:r>
      <w:r w:rsidRPr="00F94A65">
        <w:rPr>
          <w:rFonts w:eastAsia="Times New Roman"/>
          <w:color w:val="auto"/>
          <w:sz w:val="28"/>
          <w:lang w:eastAsia="ru-RU"/>
        </w:rPr>
        <w:t>составляет на 202</w:t>
      </w:r>
      <w:r w:rsidR="00F94A65" w:rsidRPr="00F94A65">
        <w:rPr>
          <w:rFonts w:eastAsia="Times New Roman"/>
          <w:color w:val="auto"/>
          <w:sz w:val="28"/>
          <w:lang w:eastAsia="ru-RU"/>
        </w:rPr>
        <w:t>5</w:t>
      </w:r>
      <w:r w:rsidRPr="00F94A65">
        <w:rPr>
          <w:rFonts w:eastAsia="Times New Roman"/>
          <w:color w:val="auto"/>
          <w:sz w:val="28"/>
          <w:lang w:eastAsia="ru-RU"/>
        </w:rPr>
        <w:t xml:space="preserve"> год – </w:t>
      </w:r>
      <w:r w:rsidR="00F94A65" w:rsidRPr="00F94A65">
        <w:rPr>
          <w:rFonts w:eastAsia="Times New Roman"/>
          <w:color w:val="auto"/>
          <w:sz w:val="28"/>
          <w:lang w:eastAsia="ru-RU"/>
        </w:rPr>
        <w:t>190950.90</w:t>
      </w:r>
      <w:r w:rsidRPr="00F94A65">
        <w:rPr>
          <w:rFonts w:eastAsia="Times New Roman"/>
          <w:color w:val="auto"/>
          <w:sz w:val="28"/>
          <w:lang w:eastAsia="ru-RU"/>
        </w:rPr>
        <w:t xml:space="preserve"> тыс. рублей, на 202</w:t>
      </w:r>
      <w:r w:rsidR="00F94A65" w:rsidRPr="00F94A65">
        <w:rPr>
          <w:rFonts w:eastAsia="Times New Roman"/>
          <w:color w:val="auto"/>
          <w:sz w:val="28"/>
          <w:lang w:eastAsia="ru-RU"/>
        </w:rPr>
        <w:t>6</w:t>
      </w:r>
      <w:r w:rsidRPr="00F94A65">
        <w:rPr>
          <w:rFonts w:eastAsia="Times New Roman"/>
          <w:color w:val="auto"/>
          <w:sz w:val="28"/>
          <w:lang w:eastAsia="ru-RU"/>
        </w:rPr>
        <w:t xml:space="preserve"> год – </w:t>
      </w:r>
      <w:r w:rsidR="00F94A65" w:rsidRPr="00F94A65">
        <w:rPr>
          <w:rFonts w:eastAsia="Times New Roman"/>
          <w:color w:val="auto"/>
          <w:sz w:val="28"/>
          <w:lang w:eastAsia="ru-RU"/>
        </w:rPr>
        <w:t>174736.81</w:t>
      </w:r>
      <w:r w:rsidRPr="00F94A65">
        <w:rPr>
          <w:rFonts w:eastAsia="Times New Roman"/>
          <w:color w:val="auto"/>
          <w:sz w:val="28"/>
          <w:lang w:eastAsia="ru-RU"/>
        </w:rPr>
        <w:t xml:space="preserve"> тыс. рублей, на 202</w:t>
      </w:r>
      <w:r w:rsidR="00F94A65" w:rsidRPr="00F94A65">
        <w:rPr>
          <w:rFonts w:eastAsia="Times New Roman"/>
          <w:color w:val="auto"/>
          <w:sz w:val="28"/>
          <w:lang w:eastAsia="ru-RU"/>
        </w:rPr>
        <w:t>7</w:t>
      </w:r>
      <w:r w:rsidRPr="00F94A65">
        <w:rPr>
          <w:rFonts w:eastAsia="Times New Roman"/>
          <w:color w:val="auto"/>
          <w:sz w:val="28"/>
          <w:lang w:eastAsia="ru-RU"/>
        </w:rPr>
        <w:t xml:space="preserve"> год –</w:t>
      </w:r>
      <w:r w:rsidR="00F94A65" w:rsidRPr="00F94A65">
        <w:rPr>
          <w:rFonts w:eastAsia="Times New Roman"/>
          <w:color w:val="auto"/>
          <w:sz w:val="28"/>
          <w:lang w:eastAsia="ru-RU"/>
        </w:rPr>
        <w:t>205567.84</w:t>
      </w:r>
      <w:r w:rsidRPr="00F94A65">
        <w:rPr>
          <w:rFonts w:eastAsia="Times New Roman"/>
          <w:color w:val="auto"/>
          <w:sz w:val="28"/>
          <w:lang w:eastAsia="ru-RU"/>
        </w:rPr>
        <w:t xml:space="preserve"> тыс. рублей. </w:t>
      </w:r>
    </w:p>
    <w:p w:rsidR="00954732" w:rsidRDefault="00602AE5" w:rsidP="00602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4A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Непрограммную часть расходов бюджета составили бюджетные ассигнования резервный фонд, обеспечение деятельности муниципальных органов</w:t>
      </w:r>
      <w:r w:rsidR="00BD4C8C" w:rsidRPr="00F94A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94A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C8C" w:rsidRPr="00F94A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дотация на выравнивание уровня бюджетной обеспеченности поселений </w:t>
      </w:r>
      <w:r w:rsidRPr="00F94A65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</w:t>
      </w:r>
      <w:r w:rsidRPr="00BD4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другие вопросы непрограммного характера.</w:t>
      </w:r>
    </w:p>
    <w:p w:rsidR="00214207" w:rsidRPr="009A64B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4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Межбюджетные трансферты бюджетам городских и сельских поселений рассчитываются на основании нормативных документов РФ, Администрации Кемеровской области, Таштагольского муниципального района. </w:t>
      </w:r>
    </w:p>
    <w:p w:rsidR="00214207" w:rsidRPr="009A64B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4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p w:rsidR="00214207" w:rsidRPr="009A64BD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4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Дотации на выравнивание бюджетной обеспеченности планируются на основании закона Кемеровской области № 134-ОЗ от 24.11.2005 года «О межбюджетных отношениях в Кемеровской области». Методика расчета дотации предоставляется.</w:t>
      </w:r>
    </w:p>
    <w:p w:rsidR="00214207" w:rsidRPr="00DC2FDA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4B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Иные межбюджетные трансферты бюджетам поселений планируются на основании Решения Совета народных депутатов Таштагольского муниципального района «Об утверждении Положения о предоставлении иных межбюджетных трансфертов из бюджета Таштагольского муниципального района».</w:t>
      </w:r>
      <w:r w:rsidRPr="00B00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4207" w:rsidRPr="00B24A36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C8C" w:rsidRDefault="00BD4C8C" w:rsidP="00BD4C8C">
      <w:pPr>
        <w:pStyle w:val="Default"/>
      </w:pPr>
    </w:p>
    <w:p w:rsidR="00BD4C8C" w:rsidRDefault="00BD4C8C" w:rsidP="00BD4C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областного бюджета</w:t>
      </w:r>
    </w:p>
    <w:p w:rsidR="00BD4C8C" w:rsidRDefault="00BD4C8C" w:rsidP="00BD4C8C">
      <w:pPr>
        <w:pStyle w:val="Default"/>
        <w:jc w:val="center"/>
        <w:rPr>
          <w:sz w:val="28"/>
          <w:szCs w:val="28"/>
        </w:rPr>
      </w:pPr>
    </w:p>
    <w:p w:rsidR="00BD4C8C" w:rsidRDefault="00BD4C8C" w:rsidP="00BD4C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Дефицит  бюджета предусмотрен:</w:t>
      </w: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C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</w:t>
      </w:r>
      <w:r w:rsidR="001C1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C1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рублей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без учета безвозмездных поступлений и поступлений налоговых доходов по дополни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тельным нормативам отчислений</w:t>
      </w:r>
      <w:r w:rsidR="00BD4C8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D4C8C" w:rsidRDefault="00BD4C8C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E1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планируется  без дефицита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14207" w:rsidRPr="00D84798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района не предоставляет проект программы муниципальных гарантий, в связи с тем, что не планирует в 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FB7E23" w:rsidRPr="00FB7E2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годах предоставлять гарантии юридическим лицам.</w:t>
      </w:r>
    </w:p>
    <w:p w:rsidR="00214207" w:rsidRPr="00D84798" w:rsidRDefault="00214207" w:rsidP="002142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74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84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не планируется предоставление  бюджетных кредитов бюджетам поселений. </w:t>
      </w: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Default="00214207" w:rsidP="0021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4207" w:rsidRDefault="00214207" w:rsidP="00AE2D87">
      <w:pPr>
        <w:pStyle w:val="a5"/>
        <w:spacing w:after="0"/>
        <w:ind w:left="2124" w:firstLine="708"/>
        <w:rPr>
          <w:b/>
          <w:bCs/>
          <w:szCs w:val="28"/>
          <w:u w:val="single"/>
        </w:rPr>
      </w:pPr>
    </w:p>
    <w:p w:rsidR="00214207" w:rsidRDefault="00214207" w:rsidP="00AE2D87">
      <w:pPr>
        <w:pStyle w:val="a5"/>
        <w:spacing w:after="0"/>
        <w:ind w:left="2124" w:firstLine="708"/>
        <w:rPr>
          <w:b/>
          <w:bCs/>
          <w:szCs w:val="28"/>
          <w:u w:val="single"/>
        </w:rPr>
      </w:pPr>
    </w:p>
    <w:p w:rsidR="00214207" w:rsidRDefault="00214207" w:rsidP="00AE2D87">
      <w:pPr>
        <w:pStyle w:val="a5"/>
        <w:spacing w:after="0"/>
        <w:ind w:left="2124" w:firstLine="708"/>
        <w:rPr>
          <w:b/>
          <w:bCs/>
          <w:szCs w:val="28"/>
          <w:u w:val="single"/>
        </w:rPr>
      </w:pPr>
    </w:p>
    <w:p w:rsidR="00214207" w:rsidRDefault="00214207" w:rsidP="00AE2D87">
      <w:pPr>
        <w:pStyle w:val="a5"/>
        <w:spacing w:after="0"/>
        <w:ind w:left="2124" w:firstLine="708"/>
        <w:rPr>
          <w:b/>
          <w:bCs/>
          <w:szCs w:val="28"/>
          <w:u w:val="single"/>
        </w:rPr>
      </w:pPr>
    </w:p>
    <w:sectPr w:rsidR="00214207" w:rsidSect="00904E30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30"/>
    <w:multiLevelType w:val="hybridMultilevel"/>
    <w:tmpl w:val="2F1EE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702CEC"/>
    <w:multiLevelType w:val="hybridMultilevel"/>
    <w:tmpl w:val="0AA26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44"/>
    <w:rsid w:val="00012030"/>
    <w:rsid w:val="00024861"/>
    <w:rsid w:val="00046F47"/>
    <w:rsid w:val="000541C2"/>
    <w:rsid w:val="00073542"/>
    <w:rsid w:val="000768C0"/>
    <w:rsid w:val="00087C10"/>
    <w:rsid w:val="00093996"/>
    <w:rsid w:val="000C7EA9"/>
    <w:rsid w:val="000D6A76"/>
    <w:rsid w:val="000F5751"/>
    <w:rsid w:val="00102C37"/>
    <w:rsid w:val="00113665"/>
    <w:rsid w:val="00116769"/>
    <w:rsid w:val="001332F5"/>
    <w:rsid w:val="00143BEB"/>
    <w:rsid w:val="00184CD2"/>
    <w:rsid w:val="001A0ED3"/>
    <w:rsid w:val="001B6F2B"/>
    <w:rsid w:val="001C14E4"/>
    <w:rsid w:val="00214207"/>
    <w:rsid w:val="00224036"/>
    <w:rsid w:val="00247555"/>
    <w:rsid w:val="002572F0"/>
    <w:rsid w:val="002916D4"/>
    <w:rsid w:val="00297990"/>
    <w:rsid w:val="002A69A3"/>
    <w:rsid w:val="002B3CEC"/>
    <w:rsid w:val="002B5337"/>
    <w:rsid w:val="002D2970"/>
    <w:rsid w:val="002E066C"/>
    <w:rsid w:val="00303427"/>
    <w:rsid w:val="003363FE"/>
    <w:rsid w:val="00381312"/>
    <w:rsid w:val="00386E7E"/>
    <w:rsid w:val="003A59A2"/>
    <w:rsid w:val="00414BC7"/>
    <w:rsid w:val="00435CCC"/>
    <w:rsid w:val="00451F50"/>
    <w:rsid w:val="0045721A"/>
    <w:rsid w:val="00462A12"/>
    <w:rsid w:val="00466CCC"/>
    <w:rsid w:val="00482328"/>
    <w:rsid w:val="00495629"/>
    <w:rsid w:val="00496959"/>
    <w:rsid w:val="004B614A"/>
    <w:rsid w:val="004F7EAE"/>
    <w:rsid w:val="00540EB5"/>
    <w:rsid w:val="00540F8D"/>
    <w:rsid w:val="00575C87"/>
    <w:rsid w:val="005858C7"/>
    <w:rsid w:val="005A244B"/>
    <w:rsid w:val="005C5F92"/>
    <w:rsid w:val="005D566F"/>
    <w:rsid w:val="005F6665"/>
    <w:rsid w:val="00602AE5"/>
    <w:rsid w:val="00605963"/>
    <w:rsid w:val="0061002C"/>
    <w:rsid w:val="006167D5"/>
    <w:rsid w:val="006200C8"/>
    <w:rsid w:val="0069062C"/>
    <w:rsid w:val="006B67D2"/>
    <w:rsid w:val="006F19C6"/>
    <w:rsid w:val="006F1ED2"/>
    <w:rsid w:val="00707DF1"/>
    <w:rsid w:val="00711DA5"/>
    <w:rsid w:val="00732057"/>
    <w:rsid w:val="00737522"/>
    <w:rsid w:val="00746ACC"/>
    <w:rsid w:val="00766D59"/>
    <w:rsid w:val="007F1D2E"/>
    <w:rsid w:val="00856D64"/>
    <w:rsid w:val="0089504D"/>
    <w:rsid w:val="008B3121"/>
    <w:rsid w:val="008C1A10"/>
    <w:rsid w:val="00904E30"/>
    <w:rsid w:val="0091067E"/>
    <w:rsid w:val="00922A78"/>
    <w:rsid w:val="00954732"/>
    <w:rsid w:val="00977F83"/>
    <w:rsid w:val="009E2F44"/>
    <w:rsid w:val="009E5CF9"/>
    <w:rsid w:val="00A60616"/>
    <w:rsid w:val="00AB0679"/>
    <w:rsid w:val="00AE2D87"/>
    <w:rsid w:val="00B33122"/>
    <w:rsid w:val="00B61847"/>
    <w:rsid w:val="00B62B4D"/>
    <w:rsid w:val="00B654CF"/>
    <w:rsid w:val="00B6792D"/>
    <w:rsid w:val="00BB0626"/>
    <w:rsid w:val="00BD4C8C"/>
    <w:rsid w:val="00BE0651"/>
    <w:rsid w:val="00C017FC"/>
    <w:rsid w:val="00C11347"/>
    <w:rsid w:val="00C16AC0"/>
    <w:rsid w:val="00C30A60"/>
    <w:rsid w:val="00C93023"/>
    <w:rsid w:val="00CC1EF7"/>
    <w:rsid w:val="00CD14A8"/>
    <w:rsid w:val="00D00505"/>
    <w:rsid w:val="00D262F6"/>
    <w:rsid w:val="00D30F0F"/>
    <w:rsid w:val="00D33958"/>
    <w:rsid w:val="00D47206"/>
    <w:rsid w:val="00D47C08"/>
    <w:rsid w:val="00D51332"/>
    <w:rsid w:val="00D86E14"/>
    <w:rsid w:val="00DB7E32"/>
    <w:rsid w:val="00DD67DC"/>
    <w:rsid w:val="00DE66C1"/>
    <w:rsid w:val="00DE6DBA"/>
    <w:rsid w:val="00E14B43"/>
    <w:rsid w:val="00E3288A"/>
    <w:rsid w:val="00E51C5F"/>
    <w:rsid w:val="00E7278C"/>
    <w:rsid w:val="00E7447B"/>
    <w:rsid w:val="00E8221A"/>
    <w:rsid w:val="00EA21BD"/>
    <w:rsid w:val="00EB6A3B"/>
    <w:rsid w:val="00EC1C52"/>
    <w:rsid w:val="00EE358E"/>
    <w:rsid w:val="00EF1141"/>
    <w:rsid w:val="00EF6287"/>
    <w:rsid w:val="00F30FAD"/>
    <w:rsid w:val="00F62435"/>
    <w:rsid w:val="00F80FD4"/>
    <w:rsid w:val="00F83C73"/>
    <w:rsid w:val="00F94A65"/>
    <w:rsid w:val="00FB7E23"/>
    <w:rsid w:val="00FE46A3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44"/>
    <w:rPr>
      <w:rFonts w:ascii="Tahoma" w:hAnsi="Tahoma" w:cs="Tahoma"/>
      <w:sz w:val="16"/>
      <w:szCs w:val="16"/>
    </w:rPr>
  </w:style>
  <w:style w:type="character" w:customStyle="1" w:styleId="CharStyle3">
    <w:name w:val="CharStyle3"/>
    <w:rsid w:val="00FF12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5">
    <w:name w:val="Body Text Indent"/>
    <w:aliases w:val=" Знак"/>
    <w:basedOn w:val="a"/>
    <w:link w:val="a6"/>
    <w:rsid w:val="007F1D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7F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0F0F"/>
    <w:rPr>
      <w:color w:val="0000FF"/>
      <w:u w:val="single"/>
    </w:rPr>
  </w:style>
  <w:style w:type="table" w:styleId="a8">
    <w:name w:val="Table Grid"/>
    <w:basedOn w:val="a1"/>
    <w:uiPriority w:val="59"/>
    <w:rsid w:val="0024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1347"/>
    <w:pPr>
      <w:ind w:left="720"/>
      <w:contextualSpacing/>
    </w:pPr>
  </w:style>
  <w:style w:type="paragraph" w:customStyle="1" w:styleId="ConsPlusTitle">
    <w:name w:val="ConsPlusTitle"/>
    <w:uiPriority w:val="99"/>
    <w:rsid w:val="0021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EE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44"/>
    <w:rPr>
      <w:rFonts w:ascii="Tahoma" w:hAnsi="Tahoma" w:cs="Tahoma"/>
      <w:sz w:val="16"/>
      <w:szCs w:val="16"/>
    </w:rPr>
  </w:style>
  <w:style w:type="character" w:customStyle="1" w:styleId="CharStyle3">
    <w:name w:val="CharStyle3"/>
    <w:rsid w:val="00FF12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5">
    <w:name w:val="Body Text Indent"/>
    <w:aliases w:val=" Знак"/>
    <w:basedOn w:val="a"/>
    <w:link w:val="a6"/>
    <w:rsid w:val="007F1D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7F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0F0F"/>
    <w:rPr>
      <w:color w:val="0000FF"/>
      <w:u w:val="single"/>
    </w:rPr>
  </w:style>
  <w:style w:type="table" w:styleId="a8">
    <w:name w:val="Table Grid"/>
    <w:basedOn w:val="a1"/>
    <w:uiPriority w:val="59"/>
    <w:rsid w:val="0024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1347"/>
    <w:pPr>
      <w:ind w:left="720"/>
      <w:contextualSpacing/>
    </w:pPr>
  </w:style>
  <w:style w:type="paragraph" w:customStyle="1" w:styleId="ConsPlusTitle">
    <w:name w:val="ConsPlusTitle"/>
    <w:uiPriority w:val="99"/>
    <w:rsid w:val="00214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EE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D9BE96C7696C18D80A56C62A7FD7CD9EDF4E1A621B7BED3459EB89F5D7F4414A5595BF7F4F4FDA6D2FD6C56DB1B3CDC7CB85FB5E13DE5B215C382CjFK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E4DD-4FE2-4517-B135-982B2613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13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vas</cp:lastModifiedBy>
  <cp:revision>43</cp:revision>
  <cp:lastPrinted>2021-11-22T04:55:00Z</cp:lastPrinted>
  <dcterms:created xsi:type="dcterms:W3CDTF">2023-11-17T03:53:00Z</dcterms:created>
  <dcterms:modified xsi:type="dcterms:W3CDTF">2024-11-07T11:45:00Z</dcterms:modified>
</cp:coreProperties>
</file>