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080E9A"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101D97" w:rsidRPr="00277016">
        <w:rPr>
          <w:rFonts w:ascii="Times New Roman" w:hAnsi="Times New Roman" w:cs="Times New Roman"/>
          <w:sz w:val="28"/>
          <w:szCs w:val="28"/>
        </w:rPr>
        <w:t>2</w:t>
      </w:r>
      <w:r w:rsidRPr="00E72D97">
        <w:rPr>
          <w:rFonts w:ascii="Times New Roman" w:hAnsi="Times New Roman" w:cs="Times New Roman"/>
          <w:sz w:val="28"/>
          <w:szCs w:val="28"/>
        </w:rPr>
        <w:t xml:space="preserve"> к </w:t>
      </w:r>
      <w:r w:rsidR="001E2AAF">
        <w:rPr>
          <w:rFonts w:ascii="Times New Roman" w:hAnsi="Times New Roman" w:cs="Times New Roman"/>
          <w:sz w:val="28"/>
          <w:szCs w:val="28"/>
        </w:rPr>
        <w:t>решени</w:t>
      </w:r>
      <w:r w:rsidR="00080E9A">
        <w:rPr>
          <w:rFonts w:ascii="Times New Roman" w:hAnsi="Times New Roman" w:cs="Times New Roman"/>
          <w:sz w:val="28"/>
          <w:szCs w:val="28"/>
        </w:rPr>
        <w:t>ю</w:t>
      </w:r>
      <w:bookmarkStart w:id="0" w:name="_GoBack"/>
      <w:bookmarkEnd w:id="0"/>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E72D97" w:rsidRDefault="00B307F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113306" w:rsidRPr="00113306">
        <w:rPr>
          <w:rFonts w:ascii="Times New Roman" w:hAnsi="Times New Roman" w:cs="Times New Roman"/>
          <w:sz w:val="28"/>
          <w:szCs w:val="28"/>
        </w:rPr>
        <w:t>от 10 декабря 2024 года № 88-рр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D22736" w:rsidRDefault="00D22736"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B72DF4" w:rsidRPr="00D22736">
        <w:rPr>
          <w:rFonts w:ascii="Times New Roman" w:hAnsi="Times New Roman" w:cs="Times New Roman"/>
          <w:b/>
          <w:bCs/>
          <w:sz w:val="28"/>
          <w:szCs w:val="28"/>
          <w:lang w:eastAsia="ru-RU"/>
        </w:rPr>
        <w:t>униципального образования "Таштагольский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7</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9F0C79"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680"/>
        <w:gridCol w:w="503"/>
        <w:gridCol w:w="646"/>
        <w:gridCol w:w="816"/>
        <w:gridCol w:w="576"/>
        <w:gridCol w:w="1515"/>
        <w:gridCol w:w="1559"/>
        <w:gridCol w:w="1559"/>
      </w:tblGrid>
      <w:tr w:rsidR="00CA3DCA" w:rsidRPr="00CA3DCA" w:rsidTr="00CA3DCA">
        <w:trPr>
          <w:trHeight w:val="204"/>
        </w:trPr>
        <w:tc>
          <w:tcPr>
            <w:tcW w:w="3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Коды классификации</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2027 год</w:t>
            </w:r>
          </w:p>
        </w:tc>
      </w:tr>
      <w:tr w:rsidR="00CA3DCA" w:rsidRPr="00CA3DCA" w:rsidTr="00CA3DCA">
        <w:trPr>
          <w:trHeight w:val="204"/>
        </w:trPr>
        <w:tc>
          <w:tcPr>
            <w:tcW w:w="3680" w:type="dxa"/>
            <w:vMerge/>
            <w:tcBorders>
              <w:top w:val="single" w:sz="4" w:space="0" w:color="auto"/>
              <w:left w:val="single" w:sz="4" w:space="0" w:color="auto"/>
              <w:bottom w:val="single" w:sz="4" w:space="0" w:color="000000"/>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proofErr w:type="spellStart"/>
            <w:r w:rsidRPr="00CA3DCA">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CA3DCA">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АГ</w:t>
            </w: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r>
      <w:tr w:rsidR="00CA3DCA" w:rsidRPr="00CA3DCA" w:rsidTr="00CA3DCA">
        <w:trPr>
          <w:trHeight w:val="192"/>
        </w:trPr>
        <w:tc>
          <w:tcPr>
            <w:tcW w:w="3680" w:type="dxa"/>
            <w:tcBorders>
              <w:top w:val="nil"/>
              <w:left w:val="single" w:sz="4" w:space="0" w:color="auto"/>
              <w:bottom w:val="single" w:sz="4" w:space="0" w:color="auto"/>
              <w:right w:val="nil"/>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5</w:t>
            </w:r>
          </w:p>
        </w:tc>
        <w:tc>
          <w:tcPr>
            <w:tcW w:w="1515"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8</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3 372 397,50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3 055 880,20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3 053 640,40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790 827,40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835 364,20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893 101,50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483 249,00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518 944,00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571 019,00</w:t>
            </w:r>
          </w:p>
        </w:tc>
      </w:tr>
      <w:tr w:rsidR="00CA3DCA" w:rsidRPr="00CA3DCA" w:rsidTr="00CA3DCA">
        <w:trPr>
          <w:trHeight w:val="367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389 800,00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423 957,00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473 420,00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A3DCA">
              <w:rPr>
                <w:rFonts w:ascii="Times New Roman" w:eastAsia="Times New Roman" w:hAnsi="Times New Roman" w:cs="Times New Roman"/>
                <w:bCs/>
                <w:sz w:val="24"/>
                <w:szCs w:val="24"/>
                <w:lang w:eastAsia="ru-RU"/>
              </w:rPr>
              <w:t xml:space="preserve"> в части суммы налога, не превышающей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1 550,00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1 650,00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CA3DCA">
              <w:rPr>
                <w:rFonts w:ascii="Times New Roman" w:eastAsia="Times New Roman" w:hAnsi="Times New Roman" w:cs="Times New Roman"/>
                <w:bCs/>
                <w:sz w:val="24"/>
                <w:szCs w:val="24"/>
                <w:lang w:eastAsia="ru-RU"/>
              </w:rPr>
              <w:t xml:space="preserve"> не более 5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7 254,00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7 821,00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8 440,00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CA3DCA">
              <w:rPr>
                <w:rFonts w:ascii="Times New Roman" w:eastAsia="Times New Roman" w:hAnsi="Times New Roman" w:cs="Times New Roman"/>
                <w:bCs/>
                <w:sz w:val="24"/>
                <w:szCs w:val="24"/>
                <w:lang w:eastAsia="ru-RU"/>
              </w:rPr>
              <w:t xml:space="preserve"> не более 20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10 223,00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10 616,00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11 009,00</w:t>
            </w:r>
          </w:p>
        </w:tc>
      </w:tr>
      <w:tr w:rsidR="00CA3DCA" w:rsidRPr="00CA3DCA" w:rsidTr="00CA3DCA">
        <w:trPr>
          <w:trHeight w:val="244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A3DCA">
              <w:rPr>
                <w:rFonts w:ascii="Times New Roman" w:eastAsia="Times New Roman" w:hAnsi="Times New Roman" w:cs="Times New Roman"/>
                <w:bCs/>
                <w:sz w:val="24"/>
                <w:szCs w:val="24"/>
                <w:lang w:eastAsia="ru-RU"/>
              </w:rPr>
              <w:t xml:space="preserve">, не </w:t>
            </w:r>
            <w:proofErr w:type="gramStart"/>
            <w:r w:rsidRPr="00CA3DCA">
              <w:rPr>
                <w:rFonts w:ascii="Times New Roman" w:eastAsia="Times New Roman" w:hAnsi="Times New Roman" w:cs="Times New Roman"/>
                <w:bCs/>
                <w:sz w:val="24"/>
                <w:szCs w:val="24"/>
                <w:lang w:eastAsia="ru-RU"/>
              </w:rPr>
              <w:t>превышающей</w:t>
            </w:r>
            <w:proofErr w:type="gramEnd"/>
            <w:r w:rsidRPr="00CA3DCA">
              <w:rPr>
                <w:rFonts w:ascii="Times New Roman" w:eastAsia="Times New Roman" w:hAnsi="Times New Roman" w:cs="Times New Roman"/>
                <w:bCs/>
                <w:sz w:val="24"/>
                <w:szCs w:val="24"/>
                <w:lang w:eastAsia="ru-RU"/>
              </w:rPr>
              <w:t xml:space="preserve">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12 000,00</w:t>
            </w:r>
          </w:p>
        </w:tc>
      </w:tr>
      <w:tr w:rsidR="00CA3DCA" w:rsidRPr="00CA3DCA" w:rsidTr="00CA3DCA">
        <w:trPr>
          <w:trHeight w:val="244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r w:rsidRPr="00CA3DCA">
              <w:rPr>
                <w:rFonts w:ascii="Times New Roman" w:eastAsia="Times New Roman" w:hAnsi="Times New Roman" w:cs="Times New Roman"/>
                <w:bCs/>
                <w:sz w:val="24"/>
                <w:szCs w:val="24"/>
                <w:lang w:eastAsia="ru-RU"/>
              </w:rPr>
              <w:lastRenderedPageBreak/>
              <w:t>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4 500,00</w:t>
            </w:r>
          </w:p>
        </w:tc>
      </w:tr>
      <w:tr w:rsidR="00CA3DCA" w:rsidRPr="00CA3DCA" w:rsidTr="0040134D">
        <w:trPr>
          <w:trHeight w:val="566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 xml:space="preserve">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w:t>
            </w:r>
            <w:r w:rsidRPr="00CA3DCA">
              <w:rPr>
                <w:rFonts w:ascii="Times New Roman" w:eastAsia="Times New Roman" w:hAnsi="Times New Roman" w:cs="Times New Roman"/>
                <w:bCs/>
                <w:sz w:val="24"/>
                <w:szCs w:val="24"/>
                <w:lang w:eastAsia="ru-RU"/>
              </w:rPr>
              <w:lastRenderedPageBreak/>
              <w:t>на доходы физических лиц в отношении доходов, указанных в абзацах тридцать пятом и тридцать шестом статьи</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r>
      <w:tr w:rsidR="00CA3DCA" w:rsidRPr="00CA3DCA" w:rsidTr="00CA3DCA">
        <w:trPr>
          <w:trHeight w:val="510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A3DCA">
              <w:rPr>
                <w:rFonts w:ascii="Times New Roman" w:eastAsia="Times New Roman" w:hAnsi="Times New Roman" w:cs="Times New Roman"/>
                <w:bCs/>
                <w:sz w:val="24"/>
                <w:szCs w:val="24"/>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02150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r>
      <w:tr w:rsidR="00CA3DCA" w:rsidRPr="00CA3DCA" w:rsidTr="00CA3DCA">
        <w:trPr>
          <w:trHeight w:val="510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CA3DCA">
              <w:rPr>
                <w:rFonts w:ascii="Times New Roman" w:eastAsia="Times New Roman" w:hAnsi="Times New Roman" w:cs="Times New Roman"/>
                <w:bCs/>
                <w:sz w:val="24"/>
                <w:szCs w:val="24"/>
                <w:lang w:eastAsia="ru-RU"/>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02160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r>
      <w:tr w:rsidR="00CA3DCA" w:rsidRPr="00CA3DCA" w:rsidTr="00CA3DCA">
        <w:trPr>
          <w:trHeight w:val="489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02170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r>
      <w:tr w:rsidR="00CA3DCA" w:rsidRPr="00CA3DCA" w:rsidTr="00CA3DCA">
        <w:trPr>
          <w:trHeight w:val="457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CA3DCA">
              <w:rPr>
                <w:rFonts w:ascii="Times New Roman" w:eastAsia="Times New Roman" w:hAnsi="Times New Roman" w:cs="Times New Roman"/>
                <w:bCs/>
                <w:sz w:val="24"/>
                <w:szCs w:val="24"/>
                <w:lang w:eastAsia="ru-RU"/>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02180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8 022,00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21 646,70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23 095,50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22 667,80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11 321,60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12 091,20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11 849,40</w:t>
            </w:r>
          </w:p>
        </w:tc>
      </w:tr>
      <w:tr w:rsidR="00CA3DCA" w:rsidRPr="00CA3DCA" w:rsidTr="00CA3DCA">
        <w:trPr>
          <w:trHeight w:val="204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56,10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54,90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11 433,70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12 150,90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11 898,30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-1 159,60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-1 202,70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-1 134,80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xml:space="preserve">НАЛОГИ НА СОВОКУПНЫЙ </w:t>
            </w:r>
            <w:r w:rsidRPr="00CA3DCA">
              <w:rPr>
                <w:rFonts w:ascii="Times New Roman" w:eastAsia="Times New Roman" w:hAnsi="Times New Roman" w:cs="Times New Roman"/>
                <w:b/>
                <w:bCs/>
                <w:sz w:val="24"/>
                <w:szCs w:val="24"/>
                <w:lang w:eastAsia="ru-RU"/>
              </w:rPr>
              <w:lastRenderedPageBreak/>
              <w:t>ДОХОД</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114 728,00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121 553,00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128 393,00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85 010,00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87 010,00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90 010,00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14 990,00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18 990,00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21 990,00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14 728,00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15 553,00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16 393,00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10 865,00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10 865,00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76 700,00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77 300,00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78 000,00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35 185,00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35 360,00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35 635,00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10 400,00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31 115,00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31 440,00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31 765,00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19 072,00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19 868,00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19 968,00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11 600,00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11 700,00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7 572,00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8 268,00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20 508,00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19 432,00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17 613,00</w:t>
            </w:r>
          </w:p>
        </w:tc>
      </w:tr>
      <w:tr w:rsidR="00CA3DCA" w:rsidRPr="00CA3DCA" w:rsidTr="0040134D">
        <w:trPr>
          <w:trHeight w:val="701"/>
        </w:trPr>
        <w:tc>
          <w:tcPr>
            <w:tcW w:w="3680" w:type="dxa"/>
            <w:tcBorders>
              <w:top w:val="nil"/>
              <w:left w:val="single" w:sz="4" w:space="0" w:color="auto"/>
              <w:bottom w:val="single" w:sz="4" w:space="0" w:color="auto"/>
              <w:right w:val="single" w:sz="4" w:space="0" w:color="auto"/>
            </w:tcBorders>
            <w:shd w:val="clear" w:color="auto" w:fill="auto"/>
            <w:hideMark/>
          </w:tcPr>
          <w:p w:rsidR="00CA3DCA" w:rsidRPr="00555C5F" w:rsidRDefault="00555C5F" w:rsidP="00555C5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w:t>
            </w:r>
            <w:r>
              <w:rPr>
                <w:rFonts w:ascii="Times New Roman" w:hAnsi="Times New Roman" w:cs="Times New Roman"/>
                <w:sz w:val="24"/>
                <w:szCs w:val="24"/>
                <w:lang w:eastAsia="ru-RU"/>
              </w:rPr>
              <w:lastRenderedPageBreak/>
              <w:t>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550154" w:rsidRDefault="00550154" w:rsidP="0055015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2 075,00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8 168,00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8 350,00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10 105,00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8 915,00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r>
      <w:tr w:rsidR="00CA3DCA" w:rsidRPr="00CA3DCA" w:rsidTr="00CA3DCA">
        <w:trPr>
          <w:trHeight w:val="142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167,00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168,00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2 908,00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2 951,00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2 995,00</w:t>
            </w:r>
          </w:p>
        </w:tc>
      </w:tr>
      <w:tr w:rsidR="00CA3DCA" w:rsidRPr="00CA3DCA" w:rsidTr="0040134D">
        <w:trPr>
          <w:trHeight w:val="27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CA3DCA">
              <w:rPr>
                <w:rFonts w:ascii="Times New Roman" w:eastAsia="Times New Roman" w:hAnsi="Times New Roman" w:cs="Times New Roman"/>
                <w:bCs/>
                <w:sz w:val="24"/>
                <w:szCs w:val="24"/>
                <w:lang w:eastAsia="ru-RU"/>
              </w:rPr>
              <w:lastRenderedPageBreak/>
              <w:t>защите их прав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r>
      <w:tr w:rsidR="00CA3DCA" w:rsidRPr="00CA3DCA" w:rsidTr="00CA3DCA">
        <w:trPr>
          <w:trHeight w:val="326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содержащих</w:t>
            </w:r>
            <w:proofErr w:type="gramEnd"/>
            <w:r w:rsidRPr="00CA3DCA">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r>
      <w:tr w:rsidR="00CA3DCA" w:rsidRPr="00CA3DCA" w:rsidTr="0040134D">
        <w:trPr>
          <w:trHeight w:val="141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CA3DCA">
              <w:rPr>
                <w:rFonts w:ascii="Times New Roman" w:eastAsia="Times New Roman" w:hAnsi="Times New Roman" w:cs="Times New Roman"/>
                <w:bCs/>
                <w:sz w:val="24"/>
                <w:szCs w:val="24"/>
                <w:lang w:eastAsia="ru-RU"/>
              </w:rPr>
              <w:lastRenderedPageBreak/>
              <w:t>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2 080,00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2 085,00</w:t>
            </w:r>
          </w:p>
        </w:tc>
      </w:tr>
      <w:tr w:rsidR="00CA3DCA" w:rsidRPr="00CA3DCA" w:rsidTr="00DF47D6">
        <w:trPr>
          <w:trHeight w:val="559"/>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A3DCA">
              <w:rPr>
                <w:rFonts w:ascii="Times New Roman" w:eastAsia="Times New Roman" w:hAnsi="Times New Roman" w:cs="Times New Roman"/>
                <w:bCs/>
                <w:sz w:val="24"/>
                <w:szCs w:val="24"/>
                <w:lang w:eastAsia="ru-RU"/>
              </w:rPr>
              <w:t xml:space="preserve"> рыболовства и среде их обитания), подлежащие </w:t>
            </w:r>
            <w:r w:rsidRPr="00CA3DCA">
              <w:rPr>
                <w:rFonts w:ascii="Times New Roman" w:eastAsia="Times New Roman" w:hAnsi="Times New Roman" w:cs="Times New Roman"/>
                <w:bCs/>
                <w:sz w:val="24"/>
                <w:szCs w:val="24"/>
                <w:lang w:eastAsia="ru-RU"/>
              </w:rPr>
              <w:lastRenderedPageBreak/>
              <w:t>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645,00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lastRenderedPageBreak/>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2 581 570,10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2 220 516,00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2 160 538,90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2 572 370,10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2 211 316,00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2 151 338,90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366 691,00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366 691,00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465 470,10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94 910,60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77 467,60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60 000,00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137,80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1 666,40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1 666,40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6 396,80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9 393,50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9 393,50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Субсидии бюджетам муниципальных районов на софинансирование строительства (реконструкции) объектов обеспечивающей инфраструктуры в рамках </w:t>
            </w:r>
            <w:r w:rsidRPr="00CA3DCA">
              <w:rPr>
                <w:rFonts w:ascii="Times New Roman" w:eastAsia="Times New Roman" w:hAnsi="Times New Roman" w:cs="Times New Roman"/>
                <w:bCs/>
                <w:sz w:val="24"/>
                <w:szCs w:val="24"/>
                <w:lang w:eastAsia="ru-RU"/>
              </w:rPr>
              <w:lastRenderedPageBreak/>
              <w:t>реализации мероприятия "Комплексное развитие спортивно-туристического комплекса "Шерегеш"</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168 510,00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165 425,50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23 850,70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6 407,70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1 482 879,00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1 546 715,40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1 541 420,30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1 423 928,00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1 484 823,80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1 479 603,90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1 909,40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2 864,20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2 864,20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w:t>
            </w:r>
            <w:r w:rsidRPr="00CA3DCA">
              <w:rPr>
                <w:rFonts w:ascii="Times New Roman" w:eastAsia="Times New Roman" w:hAnsi="Times New Roman" w:cs="Times New Roman"/>
                <w:bCs/>
                <w:sz w:val="24"/>
                <w:szCs w:val="24"/>
                <w:lang w:eastAsia="ru-RU"/>
              </w:rPr>
              <w:lastRenderedPageBreak/>
              <w:t>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79,60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4,40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1 910,80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3 821,60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3 821,60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35260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r>
    </w:tbl>
    <w:p w:rsidR="00F12A18" w:rsidRPr="00CA3DCA" w:rsidRDefault="00F12A18" w:rsidP="0024193E">
      <w:pPr>
        <w:spacing w:after="0" w:line="240" w:lineRule="auto"/>
        <w:rPr>
          <w:rFonts w:ascii="Times New Roman" w:eastAsia="Times New Roman" w:hAnsi="Times New Roman" w:cs="Times New Roman"/>
          <w:bCs/>
          <w:sz w:val="24"/>
          <w:szCs w:val="24"/>
          <w:lang w:eastAsia="ru-RU"/>
        </w:rPr>
      </w:pPr>
    </w:p>
    <w:sectPr w:rsidR="00F12A18" w:rsidRPr="00CA3DC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4D" w:rsidRDefault="0040134D" w:rsidP="00600EF4">
      <w:pPr>
        <w:spacing w:after="0" w:line="240" w:lineRule="auto"/>
      </w:pPr>
      <w:r>
        <w:separator/>
      </w:r>
    </w:p>
  </w:endnote>
  <w:endnote w:type="continuationSeparator" w:id="0">
    <w:p w:rsidR="0040134D" w:rsidRDefault="0040134D"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4D" w:rsidRDefault="0040134D">
    <w:pPr>
      <w:pStyle w:val="ab"/>
      <w:jc w:val="center"/>
    </w:pPr>
    <w:r>
      <w:fldChar w:fldCharType="begin"/>
    </w:r>
    <w:r>
      <w:instrText>PAGE   \* MERGEFORMAT</w:instrText>
    </w:r>
    <w:r>
      <w:fldChar w:fldCharType="separate"/>
    </w:r>
    <w:r w:rsidR="00080E9A">
      <w:rPr>
        <w:noProof/>
      </w:rPr>
      <w:t>1</w:t>
    </w:r>
    <w:r>
      <w:rPr>
        <w:noProof/>
      </w:rPr>
      <w:fldChar w:fldCharType="end"/>
    </w:r>
  </w:p>
  <w:p w:rsidR="0040134D" w:rsidRDefault="004013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4D" w:rsidRDefault="0040134D" w:rsidP="00600EF4">
      <w:pPr>
        <w:spacing w:after="0" w:line="240" w:lineRule="auto"/>
      </w:pPr>
      <w:r>
        <w:separator/>
      </w:r>
    </w:p>
  </w:footnote>
  <w:footnote w:type="continuationSeparator" w:id="0">
    <w:p w:rsidR="0040134D" w:rsidRDefault="0040134D"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56E02"/>
    <w:rsid w:val="00080E9A"/>
    <w:rsid w:val="0009407B"/>
    <w:rsid w:val="000963B4"/>
    <w:rsid w:val="000A1EA9"/>
    <w:rsid w:val="000B36EF"/>
    <w:rsid w:val="000C0C95"/>
    <w:rsid w:val="000E39CE"/>
    <w:rsid w:val="00101D97"/>
    <w:rsid w:val="00113306"/>
    <w:rsid w:val="00133AFA"/>
    <w:rsid w:val="0014188F"/>
    <w:rsid w:val="00143C2F"/>
    <w:rsid w:val="001858D7"/>
    <w:rsid w:val="001A648D"/>
    <w:rsid w:val="001D5563"/>
    <w:rsid w:val="001D7259"/>
    <w:rsid w:val="001E2AAF"/>
    <w:rsid w:val="001E433F"/>
    <w:rsid w:val="001F6D53"/>
    <w:rsid w:val="002002C5"/>
    <w:rsid w:val="0021290B"/>
    <w:rsid w:val="00213E0A"/>
    <w:rsid w:val="0024193E"/>
    <w:rsid w:val="00257848"/>
    <w:rsid w:val="00264B58"/>
    <w:rsid w:val="00276451"/>
    <w:rsid w:val="00277016"/>
    <w:rsid w:val="002B105D"/>
    <w:rsid w:val="002E0F5D"/>
    <w:rsid w:val="002E620E"/>
    <w:rsid w:val="003428DB"/>
    <w:rsid w:val="00344630"/>
    <w:rsid w:val="00344CE4"/>
    <w:rsid w:val="003578DD"/>
    <w:rsid w:val="0036116E"/>
    <w:rsid w:val="00364CCC"/>
    <w:rsid w:val="0037281F"/>
    <w:rsid w:val="00373277"/>
    <w:rsid w:val="003763A3"/>
    <w:rsid w:val="00396504"/>
    <w:rsid w:val="003B69D7"/>
    <w:rsid w:val="003C04B2"/>
    <w:rsid w:val="003E76E3"/>
    <w:rsid w:val="0040134D"/>
    <w:rsid w:val="00407AD1"/>
    <w:rsid w:val="00430D89"/>
    <w:rsid w:val="004975D7"/>
    <w:rsid w:val="004B25B0"/>
    <w:rsid w:val="004B7C60"/>
    <w:rsid w:val="004C7C24"/>
    <w:rsid w:val="004F4000"/>
    <w:rsid w:val="004F72E8"/>
    <w:rsid w:val="004F737B"/>
    <w:rsid w:val="00525590"/>
    <w:rsid w:val="00527D5B"/>
    <w:rsid w:val="00541764"/>
    <w:rsid w:val="00545F22"/>
    <w:rsid w:val="00550154"/>
    <w:rsid w:val="00555C5F"/>
    <w:rsid w:val="00557AA9"/>
    <w:rsid w:val="00562A69"/>
    <w:rsid w:val="00563120"/>
    <w:rsid w:val="0056511E"/>
    <w:rsid w:val="00565E19"/>
    <w:rsid w:val="00567C88"/>
    <w:rsid w:val="0057031A"/>
    <w:rsid w:val="00582BF5"/>
    <w:rsid w:val="005E2922"/>
    <w:rsid w:val="005E2D1C"/>
    <w:rsid w:val="005E6C9B"/>
    <w:rsid w:val="005F000C"/>
    <w:rsid w:val="005F1F67"/>
    <w:rsid w:val="00600EF4"/>
    <w:rsid w:val="00606BC4"/>
    <w:rsid w:val="006147FC"/>
    <w:rsid w:val="00622E0C"/>
    <w:rsid w:val="00623330"/>
    <w:rsid w:val="0064072A"/>
    <w:rsid w:val="00650C74"/>
    <w:rsid w:val="006677CD"/>
    <w:rsid w:val="00683411"/>
    <w:rsid w:val="00687105"/>
    <w:rsid w:val="006A0988"/>
    <w:rsid w:val="006A51F2"/>
    <w:rsid w:val="006C281E"/>
    <w:rsid w:val="006C4EBC"/>
    <w:rsid w:val="006C7952"/>
    <w:rsid w:val="006E43C7"/>
    <w:rsid w:val="006E64B6"/>
    <w:rsid w:val="00725070"/>
    <w:rsid w:val="007267BB"/>
    <w:rsid w:val="00750479"/>
    <w:rsid w:val="00750B25"/>
    <w:rsid w:val="0078023A"/>
    <w:rsid w:val="00780345"/>
    <w:rsid w:val="0079258F"/>
    <w:rsid w:val="007A3F61"/>
    <w:rsid w:val="007B40AF"/>
    <w:rsid w:val="007B45ED"/>
    <w:rsid w:val="007C53D7"/>
    <w:rsid w:val="007D3015"/>
    <w:rsid w:val="007D33A4"/>
    <w:rsid w:val="007D7F1C"/>
    <w:rsid w:val="007F17AA"/>
    <w:rsid w:val="00804756"/>
    <w:rsid w:val="0084205C"/>
    <w:rsid w:val="00856989"/>
    <w:rsid w:val="008A7A1A"/>
    <w:rsid w:val="008B2576"/>
    <w:rsid w:val="008D063C"/>
    <w:rsid w:val="009040E2"/>
    <w:rsid w:val="009123F1"/>
    <w:rsid w:val="009174A4"/>
    <w:rsid w:val="0093471A"/>
    <w:rsid w:val="00937AD8"/>
    <w:rsid w:val="009526FF"/>
    <w:rsid w:val="0095381C"/>
    <w:rsid w:val="009608B8"/>
    <w:rsid w:val="0096387C"/>
    <w:rsid w:val="00972470"/>
    <w:rsid w:val="009E14D8"/>
    <w:rsid w:val="009E229C"/>
    <w:rsid w:val="009F0C79"/>
    <w:rsid w:val="00A147CA"/>
    <w:rsid w:val="00A375E8"/>
    <w:rsid w:val="00A4422F"/>
    <w:rsid w:val="00A97165"/>
    <w:rsid w:val="00AA64EC"/>
    <w:rsid w:val="00AB0AB9"/>
    <w:rsid w:val="00AC6EA9"/>
    <w:rsid w:val="00AD0710"/>
    <w:rsid w:val="00AD53DE"/>
    <w:rsid w:val="00AF46DD"/>
    <w:rsid w:val="00B05B91"/>
    <w:rsid w:val="00B24A46"/>
    <w:rsid w:val="00B307F7"/>
    <w:rsid w:val="00B32BFC"/>
    <w:rsid w:val="00B52FD4"/>
    <w:rsid w:val="00B53332"/>
    <w:rsid w:val="00B72DF4"/>
    <w:rsid w:val="00B753B4"/>
    <w:rsid w:val="00B76538"/>
    <w:rsid w:val="00B865CC"/>
    <w:rsid w:val="00B93097"/>
    <w:rsid w:val="00B93581"/>
    <w:rsid w:val="00BA3EC7"/>
    <w:rsid w:val="00BA4F55"/>
    <w:rsid w:val="00BC6C1B"/>
    <w:rsid w:val="00C25B64"/>
    <w:rsid w:val="00C3199F"/>
    <w:rsid w:val="00C36556"/>
    <w:rsid w:val="00C36E9F"/>
    <w:rsid w:val="00C52AF8"/>
    <w:rsid w:val="00C67D88"/>
    <w:rsid w:val="00C7543D"/>
    <w:rsid w:val="00C84C85"/>
    <w:rsid w:val="00C93A65"/>
    <w:rsid w:val="00CA3DCA"/>
    <w:rsid w:val="00CB2C8A"/>
    <w:rsid w:val="00CE391C"/>
    <w:rsid w:val="00CF75AC"/>
    <w:rsid w:val="00D165A1"/>
    <w:rsid w:val="00D22736"/>
    <w:rsid w:val="00D25916"/>
    <w:rsid w:val="00D37703"/>
    <w:rsid w:val="00D42B93"/>
    <w:rsid w:val="00D47D59"/>
    <w:rsid w:val="00D626B3"/>
    <w:rsid w:val="00D847D6"/>
    <w:rsid w:val="00DA404A"/>
    <w:rsid w:val="00DB1D09"/>
    <w:rsid w:val="00DB6F82"/>
    <w:rsid w:val="00DD7973"/>
    <w:rsid w:val="00DF2729"/>
    <w:rsid w:val="00DF47D6"/>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7485C"/>
    <w:rsid w:val="00F86955"/>
    <w:rsid w:val="00FB7371"/>
    <w:rsid w:val="00FC1168"/>
    <w:rsid w:val="00FE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84814370">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37048123">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26438583">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89535786">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3731121">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18</Pages>
  <Words>3609</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iva</cp:lastModifiedBy>
  <cp:revision>31</cp:revision>
  <cp:lastPrinted>2021-11-08T07:50:00Z</cp:lastPrinted>
  <dcterms:created xsi:type="dcterms:W3CDTF">2020-09-09T04:16:00Z</dcterms:created>
  <dcterms:modified xsi:type="dcterms:W3CDTF">2024-12-10T05:33:00Z</dcterms:modified>
</cp:coreProperties>
</file>