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07" w:rsidRPr="004728F7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728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214207" w:rsidRPr="004728F7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Совета народных депутатов Таштагольского муниципального </w:t>
      </w:r>
      <w:r w:rsidR="006B3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муниципального образования </w:t>
      </w:r>
    </w:p>
    <w:p w:rsidR="00214207" w:rsidRPr="004728F7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«Таштагольский  муниципальный </w:t>
      </w:r>
      <w:r w:rsidR="000D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214207" w:rsidRPr="004728F7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0D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47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</w:t>
      </w:r>
      <w:r w:rsidR="000D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Pr="005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D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7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14207" w:rsidRPr="00394875" w:rsidRDefault="00214207" w:rsidP="0021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4207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местного бюджета муниципального образования «Таштагольский муниципальный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>» сформирован на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новый период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</w:t>
      </w:r>
      <w:r w:rsidRPr="00394875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 проектом</w:t>
      </w:r>
      <w:r w:rsidRPr="00394875">
        <w:rPr>
          <w:rFonts w:ascii="Times New Roman" w:hAnsi="Times New Roman" w:cs="Times New Roman"/>
          <w:sz w:val="28"/>
          <w:szCs w:val="28"/>
        </w:rPr>
        <w:t xml:space="preserve"> закона  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875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областном</w:t>
      </w:r>
      <w:r w:rsidRPr="00394875">
        <w:rPr>
          <w:rFonts w:ascii="Times New Roman" w:hAnsi="Times New Roman" w:cs="Times New Roman"/>
          <w:sz w:val="28"/>
          <w:szCs w:val="28"/>
        </w:rPr>
        <w:t xml:space="preserve"> бюджете на 202</w:t>
      </w:r>
      <w:r w:rsidR="000D6428">
        <w:rPr>
          <w:rFonts w:ascii="Times New Roman" w:hAnsi="Times New Roman" w:cs="Times New Roman"/>
          <w:sz w:val="28"/>
          <w:szCs w:val="28"/>
        </w:rPr>
        <w:t>6</w:t>
      </w:r>
      <w:r w:rsidRPr="0039487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D6428">
        <w:rPr>
          <w:rFonts w:ascii="Times New Roman" w:hAnsi="Times New Roman" w:cs="Times New Roman"/>
          <w:sz w:val="28"/>
          <w:szCs w:val="28"/>
        </w:rPr>
        <w:t>7</w:t>
      </w:r>
      <w:r w:rsidRPr="00394875">
        <w:rPr>
          <w:rFonts w:ascii="Times New Roman" w:hAnsi="Times New Roman" w:cs="Times New Roman"/>
          <w:sz w:val="28"/>
          <w:szCs w:val="28"/>
        </w:rPr>
        <w:t xml:space="preserve"> и 202</w:t>
      </w:r>
      <w:r w:rsidR="000D6428">
        <w:rPr>
          <w:rFonts w:ascii="Times New Roman" w:hAnsi="Times New Roman" w:cs="Times New Roman"/>
          <w:sz w:val="28"/>
          <w:szCs w:val="28"/>
        </w:rPr>
        <w:t>8</w:t>
      </w:r>
      <w:r w:rsidRPr="00394875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основными направлениями бюджетной и налоговой политики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Таштагольского муниципального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proofErr w:type="gramEnd"/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основными параметрами пр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>огноза социально-экономического</w:t>
      </w:r>
      <w:r w:rsidR="00707FAF" w:rsidRP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Таштагольского муниципального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округа,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прогнозом социально-экономического развития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Таштагольского муниципального </w:t>
      </w:r>
      <w:r w:rsidR="00EA09E7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r w:rsidR="000D6428"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F6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годов.</w:t>
      </w:r>
    </w:p>
    <w:p w:rsidR="00214207" w:rsidRPr="00394875" w:rsidRDefault="00214207" w:rsidP="0021420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4875">
        <w:rPr>
          <w:rFonts w:ascii="Times New Roman" w:hAnsi="Times New Roman" w:cs="Times New Roman"/>
          <w:b w:val="0"/>
          <w:sz w:val="28"/>
          <w:szCs w:val="28"/>
        </w:rPr>
        <w:t xml:space="preserve">Правовым основанием принятия проекта местного бюджета являются Бюджетный кодекс Российской Федерации и решение Совета народных депутатов Таштагольского муниципального </w:t>
      </w:r>
      <w:r w:rsidR="000D6428" w:rsidRPr="00335C2C">
        <w:rPr>
          <w:rFonts w:ascii="Times New Roman" w:eastAsia="Calibri" w:hAnsi="Times New Roman" w:cs="Times New Roman"/>
          <w:b w:val="0"/>
          <w:sz w:val="28"/>
          <w:szCs w:val="28"/>
        </w:rPr>
        <w:t>округа</w:t>
      </w:r>
      <w:r w:rsidRPr="003948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«О бюджетном процессе на территории Таштагольского муниципального </w:t>
      </w:r>
      <w:r w:rsidR="000D6428" w:rsidRPr="00335C2C">
        <w:rPr>
          <w:rFonts w:ascii="Times New Roman" w:eastAsia="Calibri" w:hAnsi="Times New Roman" w:cs="Times New Roman"/>
          <w:b w:val="0"/>
          <w:sz w:val="28"/>
          <w:szCs w:val="28"/>
        </w:rPr>
        <w:t>округа</w:t>
      </w:r>
      <w:r w:rsidRPr="00394875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14207" w:rsidRPr="00394875" w:rsidRDefault="00214207" w:rsidP="00214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875">
        <w:rPr>
          <w:rFonts w:ascii="Times New Roman" w:hAnsi="Times New Roman" w:cs="Times New Roman"/>
          <w:sz w:val="28"/>
          <w:szCs w:val="28"/>
        </w:rPr>
        <w:t>Цель законопроекта – финансовое обеспечение задач</w:t>
      </w:r>
      <w:r>
        <w:rPr>
          <w:rFonts w:ascii="Times New Roman" w:hAnsi="Times New Roman" w:cs="Times New Roman"/>
          <w:sz w:val="28"/>
          <w:szCs w:val="28"/>
        </w:rPr>
        <w:t xml:space="preserve"> и функций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Таштагольского муниципального 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394875">
        <w:rPr>
          <w:rFonts w:ascii="Times New Roman" w:hAnsi="Times New Roman" w:cs="Times New Roman"/>
          <w:sz w:val="28"/>
          <w:szCs w:val="28"/>
        </w:rPr>
        <w:t>.</w:t>
      </w:r>
    </w:p>
    <w:p w:rsidR="00214207" w:rsidRPr="00394875" w:rsidRDefault="00214207" w:rsidP="00214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875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проекта местного бюджета</w:t>
      </w:r>
      <w:r w:rsidRPr="00394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4875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 xml:space="preserve">е управление </w:t>
      </w:r>
      <w:r w:rsidR="00707F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Таштагольскому 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о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кругу</w:t>
      </w:r>
      <w:r w:rsidRPr="00394875">
        <w:rPr>
          <w:rFonts w:ascii="Times New Roman" w:hAnsi="Times New Roman" w:cs="Times New Roman"/>
          <w:sz w:val="28"/>
          <w:szCs w:val="28"/>
        </w:rPr>
        <w:t>.</w:t>
      </w:r>
    </w:p>
    <w:p w:rsidR="00214207" w:rsidRPr="005F6FB1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4207" w:rsidRPr="004B614A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B61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Основные характеристики местного бюджета</w:t>
      </w:r>
    </w:p>
    <w:p w:rsidR="00214207" w:rsidRPr="004B614A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14207" w:rsidRPr="004B614A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1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Доходы бюджета муниципального образования «Таштагольский муниципальный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4B614A">
        <w:rPr>
          <w:rFonts w:ascii="Times New Roman" w:eastAsia="Calibri" w:hAnsi="Times New Roman" w:cs="Times New Roman"/>
          <w:sz w:val="28"/>
          <w:szCs w:val="28"/>
          <w:lang w:eastAsia="ru-RU"/>
        </w:rPr>
        <w:t>» прогнозируются в размере:</w:t>
      </w:r>
    </w:p>
    <w:p w:rsidR="00214207" w:rsidRPr="00AB0679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14A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B61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– доходы местного бюджета в сумме 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4521573,10</w:t>
      </w:r>
      <w:r w:rsidRPr="004B61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налоговые и неналоговые доходы </w:t>
      </w:r>
      <w:r w:rsidR="00015273">
        <w:rPr>
          <w:rFonts w:ascii="Times New Roman" w:eastAsia="Calibri" w:hAnsi="Times New Roman" w:cs="Times New Roman"/>
          <w:sz w:val="28"/>
          <w:szCs w:val="28"/>
          <w:lang w:eastAsia="ru-RU"/>
        </w:rPr>
        <w:t>1203384,00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безвозмездные поступления </w:t>
      </w:r>
      <w:r w:rsidR="00707FAF" w:rsidRPr="00707FAF">
        <w:rPr>
          <w:rFonts w:ascii="Times New Roman" w:eastAsia="Calibri" w:hAnsi="Times New Roman" w:cs="Times New Roman"/>
          <w:sz w:val="28"/>
          <w:szCs w:val="28"/>
          <w:lang w:eastAsia="ru-RU"/>
        </w:rPr>
        <w:t>3318189,10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рублей; расходы местного бюджета в сумме 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6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>4551</w:t>
      </w:r>
      <w:r w:rsidR="00707FAF" w:rsidRPr="00707FAF">
        <w:rPr>
          <w:rFonts w:ascii="Times New Roman" w:eastAsia="Calibri" w:hAnsi="Times New Roman" w:cs="Times New Roman"/>
          <w:sz w:val="28"/>
          <w:szCs w:val="28"/>
          <w:lang w:eastAsia="ru-RU"/>
        </w:rPr>
        <w:t>573,10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из них расходы, сформированные в </w:t>
      </w:r>
      <w:r w:rsidRPr="00015273">
        <w:rPr>
          <w:rFonts w:ascii="Times New Roman" w:eastAsia="Calibri" w:hAnsi="Times New Roman" w:cs="Times New Roman"/>
          <w:sz w:val="28"/>
          <w:szCs w:val="28"/>
          <w:lang w:eastAsia="ru-RU"/>
        </w:rPr>
        <w:t>рамках 2</w:t>
      </w:r>
      <w:r w:rsidR="00CF472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0152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Таштагольского муниципального 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1002C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4336293.32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или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95.27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 от расходов местного бюджета, непрограммные расходы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215279.78</w:t>
      </w:r>
      <w:r w:rsidR="00795D70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дефицит местного бюджета в сумме </w:t>
      </w:r>
      <w:r w:rsidR="004B614A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30000,00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214207" w:rsidRPr="0069798F" w:rsidRDefault="00214207" w:rsidP="00214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– </w:t>
      </w:r>
      <w:r w:rsidR="004B614A"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доходы местного бюджета в сумме 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4410617,20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</w:t>
      </w:r>
      <w:r w:rsidR="004B614A"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налоговые и неналоговые доходы </w:t>
      </w:r>
      <w:r w:rsidR="00015273">
        <w:rPr>
          <w:rFonts w:ascii="Times New Roman" w:eastAsia="Calibri" w:hAnsi="Times New Roman" w:cs="Times New Roman"/>
          <w:sz w:val="28"/>
          <w:szCs w:val="28"/>
          <w:lang w:eastAsia="ru-RU"/>
        </w:rPr>
        <w:t>1245485,00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безвозмездные поступления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7FAF" w:rsidRPr="00707FAF">
        <w:rPr>
          <w:rFonts w:ascii="Times New Roman" w:eastAsia="Calibri" w:hAnsi="Times New Roman" w:cs="Times New Roman"/>
          <w:sz w:val="28"/>
          <w:szCs w:val="28"/>
          <w:lang w:eastAsia="ru-RU"/>
        </w:rPr>
        <w:t>3165132,20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 расходы местного бюджета в сумме</w:t>
      </w:r>
      <w:r w:rsidR="00707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AB0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7FAF" w:rsidRPr="00707FAF">
        <w:rPr>
          <w:rFonts w:ascii="Times New Roman" w:eastAsia="Calibri" w:hAnsi="Times New Roman" w:cs="Times New Roman"/>
          <w:sz w:val="28"/>
          <w:szCs w:val="28"/>
          <w:lang w:eastAsia="ru-RU"/>
        </w:rPr>
        <w:t>4410617</w:t>
      </w:r>
      <w:r w:rsidR="00707FA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,20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из них из них программные расходы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4155867.20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условно-утвержденные расходы 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42037,20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непрограммные расходы 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254749.99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  <w:proofErr w:type="gramEnd"/>
    </w:p>
    <w:p w:rsidR="00C213ED" w:rsidRPr="00AB0679" w:rsidRDefault="00214207" w:rsidP="00C21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– доходы местного бюджета в 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сумме 3273664,30 тыс. рублей, из них налоговые и неналоговые доходы </w:t>
      </w:r>
      <w:r w:rsidR="00733477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1284505</w:t>
      </w:r>
      <w:r w:rsidR="00015273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безвозмездные поступления</w:t>
      </w:r>
      <w:r w:rsidR="00707FA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1989159,30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 расходы местного бюджета в сумме</w:t>
      </w:r>
      <w:r w:rsidR="009E570B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3273664,30 тыс. рублей, из них из них программные расходы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2977130.24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условно-утвержденные расходы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82720.40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непрограммные расходы</w:t>
      </w:r>
      <w:r w:rsidR="009E570B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69798F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296534.06</w:t>
      </w:r>
      <w:r w:rsidR="00795D70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13ED" w:rsidRPr="0069798F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  <w:proofErr w:type="gramEnd"/>
    </w:p>
    <w:p w:rsidR="00214207" w:rsidRPr="00540F8D" w:rsidRDefault="00214207" w:rsidP="00C21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8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верхний предел муниципального внутреннего долга Таштагольского</w:t>
      </w:r>
      <w:r w:rsidRPr="0054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D6428" w:rsidRPr="00DB17BC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6212,4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</w:t>
      </w:r>
      <w:r w:rsidR="00707DF1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5177,00</w:t>
      </w:r>
      <w:r w:rsidR="00540F8D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1 января 202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B17BC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4141,6</w:t>
      </w:r>
      <w:r w:rsidR="00540F8D"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214207" w:rsidRPr="00B33122" w:rsidRDefault="00214207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 доходы</w:t>
      </w:r>
    </w:p>
    <w:p w:rsidR="00214207" w:rsidRPr="00DB17B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расчете прогнозируемого объема доходов </w:t>
      </w:r>
      <w:r w:rsidRPr="00DB17BC">
        <w:rPr>
          <w:rFonts w:ascii="Times New Roman" w:eastAsia="Calibri" w:hAnsi="Times New Roman" w:cs="Times New Roman"/>
          <w:sz w:val="28"/>
          <w:szCs w:val="28"/>
          <w:lang w:eastAsia="ru-RU"/>
        </w:rPr>
        <w:t>местного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учитывались принятые в 202</w:t>
      </w:r>
      <w:r w:rsid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изменения налогового и бюджетного законодательства Российской Федерации, </w:t>
      </w:r>
      <w:r w:rsidRPr="00DB17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 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планируемые 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принятию в текущем финансовом году изменения и дополнения 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законодательство Российской Федерации, учтенные в проекте федерального закона «О федеральном бюджете </w:t>
      </w:r>
      <w:r w:rsidRPr="00DB17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202</w:t>
      </w:r>
      <w:r w:rsidR="00E5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Pr="00DB17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 и на плановый период 202</w:t>
      </w:r>
      <w:r w:rsidR="00E5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="00B33122" w:rsidRPr="00DB17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202</w:t>
      </w:r>
      <w:r w:rsidR="00E5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DB17B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годов» и </w:t>
      </w:r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оказывающие влияние на доходы </w:t>
      </w:r>
      <w:r w:rsidRPr="00DB17BC">
        <w:rPr>
          <w:rFonts w:ascii="Times New Roman" w:eastAsia="Calibri" w:hAnsi="Times New Roman" w:cs="Times New Roman"/>
          <w:sz w:val="28"/>
          <w:szCs w:val="28"/>
          <w:lang w:eastAsia="ru-RU"/>
        </w:rPr>
        <w:t>местного</w:t>
      </w:r>
      <w:proofErr w:type="gramEnd"/>
      <w:r w:rsidRPr="00DB17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 в планируемом периоде.</w:t>
      </w:r>
    </w:p>
    <w:p w:rsidR="00102C37" w:rsidRPr="00DB17BC" w:rsidRDefault="00102C37" w:rsidP="00102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налогового и бюджетного законодательства Российской Федерации учтены следующие принятые и проектируемые изменения: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налога на доходы физических лиц: темп роста фонда оплаты труда, в соответствии с показателями социально-экономического развития Кемеровской области – Кузбасса, прогнозируемыми Министерством экономического развития Кузбасса, на 2026 год составит 103,5% к оценке 2025 года, на 2027 год – 101,0% к прогнозу 2026 года, на 2028 год – 101,0% к прогнозу 2028 года;</w:t>
      </w:r>
      <w:proofErr w:type="gramEnd"/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на 2026 год размера регионального коэффициента по налогу на доходы физических лиц для иностранных граждан, отражающего региональные особенности рынка труда Кемеровской области, в размере 2,471 в соответствии с проектом закона Кемеровской области – Кузбасса «Об установлении коэффициента, отражающего региональные особенности рынка труда Кемеровской области – Кузбассе, на 2026 год»;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размеров дополнительных нормативов отчислений в местные бюджеты в соответствии с приложением №2 проекта закона Кемеровской области – Кузбасса «Об областном бюджете на 2026 год и на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период 2027 и 2028 годов».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части акцизов по подакцизным товарам: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индексация ставок акцизов на нефтепродукты в соответствии с проектом Федерального закона № 1026190-8 «О внесении изменений в части первую и вторую Налогового кодекса Российской Федерации и отдельные законодательные акты Российской Федерации»: на 2026 год – 105,1% к уровню 2025 года, на 2027 и 2028 годы – 104,0% ежегодно;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размеров дифференцированных нормативов отчислений в местные бюджеты в соответствии с приложением №3 проекта закона Кемеровской области – Кузбасса «Об областном бюджете на 2026 год и на плановый период 2027 и 2028 годов».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части туристического налога: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 01.01.2026 с 1% до 2% налоговой ставки в 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418.5 Налогового кодекса Российской Федерации.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части налога, взимаемого в связи с применением упрощенной системы налогообложения: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размеров дифференцированных нормативов отчислений в местные бюджеты в соответствии с приложением № 4 проекта закона Кемеровской области – Кузбасса «Об областном бюджете на 2026 год и на плановый период 2027 и 2028 годов»;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действие в 2026 году пониженных налоговых ставок при применении УСН для организаций и индивидуальных предпринимателей, с которыми заключено соглашение о реализации мер по поддержке приоритетных направлений развития внутреннего и въездного туризма в Кемеровской области – Кузбассе в размерах: 5% – в случае, если объектом налогообложения являются доходы, уменьшенные на величину расходов, и 1% – в случае, если объектом налогообложения являются доходы, в соответствии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Законом Кемеровской области – Кузбасса от 30.11.2022               № 132-ОЗ «О внесении изменений в некоторые законодательные акты Кемеровской области – Кузбасса в сфере налогообложения»;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до 01.01.2027 года налоговой ставки в размере 0% для впервые зарегистрированных индивидуальных предпринимателей, применяющих УСН и осуществляющих предпринимательскую деятельность в производственной, социальной и (или) научной сферах, а также в сфере бытовых услуг населению, в соответствии с Законом Кемеровской области – Кузбасса от 28.11.2024 № 119-ОЗ «О внесении изменений в некоторые законодательные акты Кемеровской области в сфере налогообложения и признании утратившими силу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законодательных актов (положений законодательных актов) Кемеровской области – Кузбасса»;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с 01.01.2026 действия пониженных ставок при применении УСН для социально ориентированных некоммерческих организаций, включенных в реестр социально ориентированных некоммерческих организаций в соответствии с постановлением Правительства Российской Федерации от 30.07.2021 № 1290 «О реестре социально ориентированных некоммерческих организаций»,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статьей 1-5 Закона Кемеровской области от 26.11.2008 № 99-ОЗ «О налоговых ставках при применении упрощенной системы налогообложения», в соответствии с проектом закона Кемеровской области  Кузбасса «О внесении изменений в некоторые законодательные акты Кемеровской области – Кузбасса в сфере налогообложения»;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до 31.12.2028 действия пониженных ставок при применении УСН для субъектов малого и среднего предпринимательства, имеющих статус социального предприятия в соответствии с Федеральным законом «О развитии малого и среднего предпринимательства в Российской Федерации», установленных статьей 1-11 Закона № 99-ОЗ «О налоговых ставках при применении упрощенной системы налогообложения», в соответствии с проектом закона Кемеровской области – Кузбасса «О внесении изменений в некоторые законодательные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Кемеровской области – Кузбасса в сфере налогообложения»;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до 31.12.2028 действия пониженных ставок при применении УСН для организаций, осуществляющих деятельность в области информационных технологий, при одновременном увеличении с 01.01.2026 налоговых ставок с 5 до 9 процентов – в случае, если объектом налогообложения являются доходы, уменьшенные на величину расходов, и 1 до 3 процентов – в случае, если объектом налогообложения являются доходы, установленных статьей 1-10 Закона Кемеровской области от 26.11.2008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99-ОЗ «О налоговых ставках при применении упрощенной системы налогообложения», в соответствии с проектом закона Кемеровской области – Кузбасса «О внесении изменений в некоторые законодательные акты Кемеровской области – Кузбасса в сфере налогообложения».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части налога, взимаемого в связи с применением патентной системы налогообложения: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до 01.01.2027 года налоговой ставки в размере 0% для впервые зарегистрированных индивидуальных предпринимателей, применяющих патентную 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систему налогообложения и осуществляющих предпринимательскую деятельность в производственной, социальной и (или) научной сферах, а также в сфере бытовых услуг населению, в соответствии с Законом Кемеровской области – Кузбасса от 28.11.2024 № 119-ОЗ «О внесении изменений в некоторые законодательные акты Кемеровской области в сфере налогообложения и признании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законодательных актов (положений законодательных актов) Кемеровской области – Кузбасса»;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с 01.01.2026 для применения индивидуальными предпринимателями патентной системы налогообложения в отношении видов деятельности: грузоперевозка автомобильным транспортом и розничная торговля через стационарные объекты, в соответствии с подпунктом «в» пункта 83 статьи 2 проекта федерального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1026190-8 «О внесении изменений в части первую и вторую Налогового кодекса Российской Федерации и отдельные законодательные акты Российской Федерации».</w:t>
      </w:r>
      <w:proofErr w:type="gramEnd"/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части налога на имущество физических лиц: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 01.01.2026 налогового вычета в размере кадастровой стоимости 5 </w:t>
      </w:r>
      <w:proofErr w:type="spell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общей площади квартиры, площади части квартиры, комнаты и 7 </w:t>
      </w:r>
      <w:proofErr w:type="spell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общей площади жилого дома, части жилого дома, в отношении многодетных семей, имеющих детей в возрасте до 23 лет, обучающихся в образовательных организациях по очной форме обучения, в соответствии с проектом федерального закона № 1026190-8 «О внесении изменений в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первую и вторую Налогового кодекса Российской Федерации и отдельные законодательные акты Российской Федерации».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части земельного налога: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 01.01.2026 налогового вычета в размере кадастровой стоимости 600 кв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в отношении многодетных семей, имеющих детей в возрасте до 23 лет, обучающихся в образовательных организациях по очной форме обучения, а также лиц, принимающих участие в СВО и членов их семей, в соответствии с проектом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1026190-8 «О внесении изменений в части первую и вторую Налогового кодекса Российской Федерации и отдельные законодательные акты Российской Федерации». Для лиц, принимающих участие в СВО и членов их семей, налоговый вычет распространяется на правоотношения за налоговые периоды 2022-2025 годов.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части доходов, получаемых в виде арендной платы за земельные участки: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с 01.01.2026 исключительно на использование кадастровой стоимости для расчета арендной платы за использование земельных участков, находящихся в государственной и муниципальной собственности в отношении договоров аренды земельных участков, заключенных после 01.01.2026, в соответствии с федеральным законом от 08.08.2024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оценке».</w:t>
      </w:r>
      <w:proofErr w:type="gramEnd"/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части платы за негативное воздействие на окружающую среду: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 01.01.2026 года с 40% до 100% норматива зачисления в бюджеты субъектов Российской Федерации в соответствии с Федеральным законом от 26.12.2024 № 488-ФЗ «О внесении изменений в Бюджетный кодекс Российской Федерации и статьи 12 и 15 Федерального закона «О внесении изменений в отдельные законодательные акты Российской Федерации, приостановлении действия </w:t>
      </w: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положений законодательных актов Российской Федерации, признании утратившими силу отдельных положений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законодательных актов Российской Федерации и об установлении </w:t>
      </w: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исполнения бюджетов бюджетной системы Российской Федерации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году».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части сроков уплаты налогов:</w:t>
      </w:r>
    </w:p>
    <w:p w:rsidR="00E55BFC" w:rsidRP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01.01.2026 налог, срок уплаты которого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уплаты налога, включая авансового платежа по налогу, считается предшествующий рабочий день, в соответствии с проектом федерального закона№ 1026190-8 «О внесении изменений в части первую и вторую Налогового кодекса Российской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отдельные законодательные акты Российской Федерации»;</w:t>
      </w:r>
    </w:p>
    <w:p w:rsidR="00E55BFC" w:rsidRDefault="00E55BFC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 01.01.2027 сроков уплаты земельного налога «в срок не позднее 28 марта года, следующего за истекшим налоговым периодом, авансовые платежи по налогу подлежат уплате налогоплательщиками - организациями в срок не позднее 28-го числа второго месяца, следующего за истекшим отчетным периодом», в соответствии с проектом федерального закона № 1026190-8 «О внесении изменений в части первую и вторую Налогового кодекса Российской Федерации и</w:t>
      </w:r>
      <w:proofErr w:type="gramEnd"/>
      <w:r w:rsidRPr="00E5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законодательные акты Российской Федерации».</w:t>
      </w:r>
    </w:p>
    <w:p w:rsidR="00102C37" w:rsidRPr="00D60116" w:rsidRDefault="00F83C73" w:rsidP="00E55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BFC">
        <w:rPr>
          <w:rFonts w:ascii="Times New Roman" w:eastAsia="Calibri" w:hAnsi="Times New Roman" w:cs="Times New Roman"/>
          <w:sz w:val="28"/>
          <w:szCs w:val="28"/>
        </w:rPr>
        <w:t>Параметры местного бюджета по доходам рассчитаны в соответствии с Методикой расчета прогноза налоговых и</w:t>
      </w:r>
      <w:r w:rsidRPr="00E55B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неналоговых доходов бюджета муниципального образования «Таштагольский муниципальный район» на очередной финансовый год и плановый период, утвержденной постановлением администрации </w:t>
      </w:r>
      <w:r w:rsidRPr="00D60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Таштагольского муниципального района от 27.04.2020 № 464-п. </w:t>
      </w:r>
    </w:p>
    <w:p w:rsidR="00D86E14" w:rsidRPr="00D60116" w:rsidRDefault="00D86E14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207" w:rsidRPr="00D60116" w:rsidRDefault="00214207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 на доходы физических лиц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>Прогноз поступлений в местный бюджет налога на доходы физических лиц</w:t>
      </w:r>
      <w:r w:rsidR="00D86E14" w:rsidRPr="00D60116">
        <w:rPr>
          <w:rFonts w:ascii="Times New Roman" w:eastAsia="Calibri" w:hAnsi="Times New Roman" w:cs="Times New Roman"/>
          <w:sz w:val="28"/>
          <w:szCs w:val="28"/>
        </w:rPr>
        <w:t xml:space="preserve"> рассчитан на основе прогноза 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администратора доходов </w:t>
      </w:r>
      <w:r w:rsidRPr="00D601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ИФНС России №8 по Кемеровской области - Кузбассу. 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601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прогнозировании поступлений в бюджет</w:t>
      </w:r>
      <w:r w:rsidR="00974288" w:rsidRPr="00D601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округа </w:t>
      </w:r>
      <w:r w:rsidRPr="00D601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налога на </w:t>
      </w:r>
      <w:r w:rsidRPr="00D60116">
        <w:rPr>
          <w:rFonts w:ascii="Times New Roman" w:eastAsia="Calibri" w:hAnsi="Times New Roman" w:cs="Times New Roman"/>
          <w:sz w:val="28"/>
          <w:szCs w:val="28"/>
        </w:rPr>
        <w:t>доходы физических лиц</w:t>
      </w:r>
      <w:r w:rsidRPr="00D601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учтены следующие факторы: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>статистическая отчетность ИФНС России №8 по Кемеровской области - Кузбассу по формам №5-НДФЛ;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>оценка поступлений налога на доходы физических лиц за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5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>динамика фактических поступлений разовых платежей по налогу в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3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11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4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годах;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>динамика возвратов из бюджета налога на доходы физических лиц в результате применения налоговых вычетов в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3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60116">
        <w:rPr>
          <w:rFonts w:ascii="Times New Roman" w:eastAsia="Calibri" w:hAnsi="Times New Roman" w:cs="Times New Roman"/>
          <w:sz w:val="28"/>
          <w:szCs w:val="28"/>
        </w:rPr>
        <w:t>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4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годах.</w:t>
      </w:r>
    </w:p>
    <w:p w:rsidR="00214207" w:rsidRPr="00D60116" w:rsidRDefault="00214207" w:rsidP="00214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При подготовке проекта использовался рекомендованный </w:t>
      </w:r>
      <w:r w:rsidRPr="00D60116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дополнительный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норматив на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6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 – 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1</w:t>
      </w:r>
      <w:r w:rsidRPr="00D60116">
        <w:rPr>
          <w:rFonts w:ascii="Times New Roman" w:eastAsia="Calibri" w:hAnsi="Times New Roman" w:cs="Times New Roman"/>
          <w:sz w:val="28"/>
          <w:szCs w:val="28"/>
        </w:rPr>
        <w:t>,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53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%, на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7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 – 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1</w:t>
      </w:r>
      <w:r w:rsidRPr="00D60116">
        <w:rPr>
          <w:rFonts w:ascii="Times New Roman" w:eastAsia="Calibri" w:hAnsi="Times New Roman" w:cs="Times New Roman"/>
          <w:sz w:val="28"/>
          <w:szCs w:val="28"/>
        </w:rPr>
        <w:t>,</w:t>
      </w:r>
      <w:r w:rsidR="006167D5" w:rsidRPr="00D60116">
        <w:rPr>
          <w:rFonts w:ascii="Times New Roman" w:eastAsia="Calibri" w:hAnsi="Times New Roman" w:cs="Times New Roman"/>
          <w:sz w:val="28"/>
          <w:szCs w:val="28"/>
        </w:rPr>
        <w:t>6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8</w:t>
      </w:r>
      <w:r w:rsidRPr="00D60116">
        <w:rPr>
          <w:rFonts w:ascii="Times New Roman" w:eastAsia="Calibri" w:hAnsi="Times New Roman" w:cs="Times New Roman"/>
          <w:sz w:val="28"/>
          <w:szCs w:val="28"/>
        </w:rPr>
        <w:t>%,  на 202</w:t>
      </w:r>
      <w:r w:rsidR="00974288" w:rsidRPr="00D60116">
        <w:rPr>
          <w:rFonts w:ascii="Times New Roman" w:eastAsia="Calibri" w:hAnsi="Times New Roman" w:cs="Times New Roman"/>
          <w:sz w:val="28"/>
          <w:szCs w:val="28"/>
        </w:rPr>
        <w:t>8 год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1</w:t>
      </w:r>
      <w:r w:rsidRPr="00D60116">
        <w:rPr>
          <w:rFonts w:ascii="Times New Roman" w:eastAsia="Calibri" w:hAnsi="Times New Roman" w:cs="Times New Roman"/>
          <w:sz w:val="28"/>
          <w:szCs w:val="28"/>
        </w:rPr>
        <w:t>,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76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214207" w:rsidRPr="00D60116" w:rsidRDefault="00214207" w:rsidP="00E32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011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Прогнозируемый объем доходов в бюджет Таш</w:t>
      </w:r>
      <w:r w:rsid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тагольского муниципального округа</w:t>
      </w:r>
      <w:r w:rsidRPr="00D60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НДФЛ составит в </w:t>
      </w:r>
      <w:r w:rsidRPr="00D60116">
        <w:rPr>
          <w:rFonts w:ascii="Times New Roman" w:eastAsia="Calibri" w:hAnsi="Times New Roman" w:cs="Times New Roman"/>
          <w:sz w:val="28"/>
          <w:szCs w:val="28"/>
        </w:rPr>
        <w:t>202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6</w:t>
      </w:r>
      <w:r w:rsidR="006167D5" w:rsidRPr="00D6011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687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млн.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789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тыс. рублей,  в 202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7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6F1ED2" w:rsidRPr="00D6011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697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млн.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1</w:t>
      </w:r>
      <w:r w:rsidR="006F1ED2" w:rsidRPr="00D60116">
        <w:rPr>
          <w:rFonts w:ascii="Times New Roman" w:eastAsia="Calibri" w:hAnsi="Times New Roman" w:cs="Times New Roman"/>
          <w:sz w:val="28"/>
          <w:szCs w:val="28"/>
        </w:rPr>
        <w:t>4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8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6F1ED2" w:rsidRPr="00D60116">
        <w:rPr>
          <w:rFonts w:ascii="Times New Roman" w:eastAsia="Calibri" w:hAnsi="Times New Roman" w:cs="Times New Roman"/>
          <w:sz w:val="28"/>
          <w:szCs w:val="28"/>
        </w:rPr>
        <w:t xml:space="preserve">. рублей, </w:t>
      </w:r>
      <w:r w:rsidRPr="00D60116">
        <w:rPr>
          <w:rFonts w:ascii="Times New Roman" w:eastAsia="Calibri" w:hAnsi="Times New Roman" w:cs="Times New Roman"/>
          <w:sz w:val="28"/>
          <w:szCs w:val="28"/>
        </w:rPr>
        <w:t>в 202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8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705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млн. </w:t>
      </w:r>
      <w:r w:rsidR="006F1ED2" w:rsidRPr="00D60116">
        <w:rPr>
          <w:rFonts w:ascii="Times New Roman" w:eastAsia="Calibri" w:hAnsi="Times New Roman" w:cs="Times New Roman"/>
          <w:sz w:val="28"/>
          <w:szCs w:val="28"/>
        </w:rPr>
        <w:t>0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20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тыс. рублей (в 202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5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году ожидаемое поступление составит 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661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 млн. </w:t>
      </w:r>
      <w:r w:rsidR="006F1ED2" w:rsidRPr="00D60116">
        <w:rPr>
          <w:rFonts w:ascii="Times New Roman" w:eastAsia="Calibri" w:hAnsi="Times New Roman" w:cs="Times New Roman"/>
          <w:sz w:val="28"/>
          <w:szCs w:val="28"/>
        </w:rPr>
        <w:t>2</w:t>
      </w:r>
      <w:r w:rsidR="00D60116" w:rsidRPr="00D60116">
        <w:rPr>
          <w:rFonts w:ascii="Times New Roman" w:eastAsia="Calibri" w:hAnsi="Times New Roman" w:cs="Times New Roman"/>
          <w:sz w:val="28"/>
          <w:szCs w:val="28"/>
        </w:rPr>
        <w:t>68</w:t>
      </w:r>
      <w:r w:rsidRPr="00D60116">
        <w:rPr>
          <w:rFonts w:ascii="Times New Roman" w:eastAsia="Calibri" w:hAnsi="Times New Roman" w:cs="Times New Roman"/>
          <w:sz w:val="28"/>
          <w:szCs w:val="28"/>
        </w:rPr>
        <w:t xml:space="preserve"> тыс. рублей). </w:t>
      </w:r>
      <w:r w:rsidR="00E3288A" w:rsidRPr="00D60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4207" w:rsidRPr="00D60116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0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данным Межрайонной ИФНС России № 8 по Кемеровской области – Кузбассу (далее - налоговый орган) в отчетном периоде рост поступлений от НДФЛ </w:t>
      </w:r>
      <w:r w:rsidRPr="00D60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связан с увеличением заработной платы работникам и ростом количества налогоплательщиков.</w:t>
      </w:r>
    </w:p>
    <w:p w:rsidR="00214207" w:rsidRPr="00C50D5C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крупные налогоплательщики зарегистрировались в</w:t>
      </w:r>
      <w:r w:rsidR="00AA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городе-курорте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7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Шерегеш 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</w:t>
      </w:r>
      <w:r w:rsidR="00C50D5C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</w:t>
      </w:r>
      <w:r w:rsidR="00C30A60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ООО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A1583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МЕГАГРАД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50D5C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0A60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</w:t>
      </w:r>
      <w:r w:rsidR="00C50D5C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СНАРЯГА</w:t>
      </w:r>
      <w:r w:rsidR="00C30A60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C50D5C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583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30A60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«</w:t>
      </w:r>
      <w:r w:rsidR="005A1583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КЕМЕРОВОСПЕЦСТРОЙ</w:t>
      </w:r>
      <w:r w:rsidR="00C30A60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C50D5C" w:rsidRPr="00C50D5C" w:rsidRDefault="00C50D5C" w:rsidP="0021420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C50D5C" w:rsidRDefault="00214207" w:rsidP="0021420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Акцизы по подакцизным товарам (продукции), производимым на территории Российской Федерации</w:t>
      </w:r>
    </w:p>
    <w:p w:rsidR="00214207" w:rsidRPr="00C50D5C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поступлений по </w:t>
      </w:r>
      <w:r w:rsidRPr="00C50D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акцизам по подакцизным товарам (продукции), производимым на территории Российской Федерации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составлен на основе прогноза администратора доходов </w:t>
      </w:r>
      <w:r w:rsidRPr="00C50D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Межрайонной ИФНС России № 8 по Кемеровской области – Кузбассу с учетом динамики фактических поступлений и ожидаемой оценки за 202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214207" w:rsidRPr="00C50D5C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Поступление по акцизам по подакцизным товарам (продукции), производимым на территории Российской Федерации, прогнозируется на 202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сумме 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70030</w:t>
      </w:r>
      <w:r w:rsidR="006F1ED2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80025</w:t>
      </w:r>
      <w:r w:rsidR="006F1ED2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80859,0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77512</w:t>
      </w:r>
      <w:r w:rsidR="00093996"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50D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214207" w:rsidRPr="000D6428" w:rsidRDefault="00214207" w:rsidP="00214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14207" w:rsidRPr="00653548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Налог, взимаемый в связи с применением упрощенной системы налогообложения</w:t>
      </w:r>
    </w:p>
    <w:p w:rsidR="00214207" w:rsidRPr="00653548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14207" w:rsidRPr="00653548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поступлений по налогу, взимаемому в связи с применением упрощенной системы налогообложения, составлен на основе прогноза администратора доходов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548">
        <w:rPr>
          <w:rFonts w:ascii="Times New Roman" w:eastAsia="Calibri" w:hAnsi="Times New Roman" w:cs="Times New Roman"/>
          <w:sz w:val="28"/>
          <w:szCs w:val="28"/>
        </w:rPr>
        <w:t xml:space="preserve">ИФНС России №8 по Кемеровской области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Кузбассу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динамики фактических поступлений и ожидаемой оценки за 202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214207" w:rsidRPr="00653548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Поступление платежей по налогу, взимаемому в связи с применением упрощенной системы налогообложения, на 202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прогнозируется в сумме 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093996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8732</w:t>
      </w:r>
      <w:r w:rsidR="00093996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653548"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11321,7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53548"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93996"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оценки 202</w:t>
      </w:r>
      <w:r w:rsidR="00653548"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3996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5592</w:t>
      </w:r>
      <w:r w:rsidR="00093996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14322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 тыс. рублей, на 202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Pr="0065354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653548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23226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 тыс. рублей.</w:t>
      </w:r>
    </w:p>
    <w:p w:rsidR="00214207" w:rsidRPr="00653548" w:rsidRDefault="00B62B4D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</w:t>
      </w:r>
      <w:r w:rsidR="00214207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планируемых поступлений налога в 202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14207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214207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обусловлен</w:t>
      </w:r>
      <w:proofErr w:type="gramEnd"/>
      <w:r w:rsidR="00214207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прогнозируемым ростом налогоплательщиков, применяющих упрощенную систему налогообложения.</w:t>
      </w:r>
    </w:p>
    <w:p w:rsidR="00214207" w:rsidRPr="000D6428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53548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Налог, взимаемый в связи с применением  патентной </w:t>
      </w:r>
    </w:p>
    <w:p w:rsidR="00214207" w:rsidRPr="00653548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налогообложения</w:t>
      </w:r>
    </w:p>
    <w:p w:rsidR="00214207" w:rsidRPr="00653548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653548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Патентный  налог зачисляется по нормативу 100% в бюджет муниципального 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4207" w:rsidRPr="00653548" w:rsidRDefault="00214207" w:rsidP="00214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поступления налога в бюджет 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 на</w:t>
      </w:r>
      <w:r w:rsidR="00B62B4D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B62B4D" w:rsidRPr="006F3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A3C1C" w:rsidRPr="006F3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="00B62B4D" w:rsidRPr="006F3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00,0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B62B4D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3800</w:t>
      </w:r>
      <w:r w:rsidR="00B62B4D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– </w:t>
      </w:r>
      <w:r w:rsidR="00B62B4D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4700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 тыс. рублей;  на 202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B62B4D"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A3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5700</w:t>
      </w:r>
      <w:r w:rsidRPr="0065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 тыс. рублей.</w:t>
      </w:r>
    </w:p>
    <w:p w:rsidR="00214207" w:rsidRDefault="00214207" w:rsidP="00214207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3548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поступлений по единому налогу, взимаемому в связи с применением патентной системы налогообложения, связано с увеличением количества налогоплательщиков.</w:t>
      </w:r>
    </w:p>
    <w:p w:rsidR="00653548" w:rsidRDefault="00653548" w:rsidP="00214207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3548" w:rsidRPr="00653548" w:rsidRDefault="00653548" w:rsidP="00214207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BA3C1C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Государственная пошлина</w:t>
      </w:r>
    </w:p>
    <w:p w:rsidR="00BA3C1C" w:rsidRPr="00BA3C1C" w:rsidRDefault="00BA3C1C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 поступлений го</w:t>
      </w:r>
      <w:r w:rsidR="00B62B4D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сударственной пошлины составлен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учетом ожидаемой оценки </w:t>
      </w:r>
      <w:r w:rsidR="00B62B4D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поступлений за 202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62B4D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 и прогноза администраторов доходов </w:t>
      </w:r>
      <w:r w:rsidRPr="00BA3C1C">
        <w:rPr>
          <w:rFonts w:ascii="Times New Roman" w:eastAsia="Calibri" w:hAnsi="Times New Roman" w:cs="Times New Roman"/>
          <w:sz w:val="28"/>
          <w:szCs w:val="28"/>
        </w:rPr>
        <w:t xml:space="preserve">ИФНС России №8 по Кемеровской области </w:t>
      </w: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Кузбассу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14207" w:rsidRPr="00013229" w:rsidRDefault="00214207" w:rsidP="00214207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Общий объем поступлений государственной пошлины в бюджет  Таштагольского муниципального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прогнозируется на 202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сумме </w:t>
      </w:r>
      <w:r w:rsidR="00B62B4D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19050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на 202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2B4D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9200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тыс. рублей, </w:t>
      </w:r>
      <w:r w:rsidR="00B62B4D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A3C1C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2B4D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</w:t>
      </w: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B4D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3C1C"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>9300</w:t>
      </w:r>
      <w:r w:rsidRPr="00BA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на 202</w:t>
      </w:r>
      <w:r w:rsidR="00BA3C1C"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B62B4D"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3C1C"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9400</w:t>
      </w: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рублей.</w:t>
      </w:r>
    </w:p>
    <w:p w:rsidR="00214207" w:rsidRPr="00013229" w:rsidRDefault="00214207" w:rsidP="009106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013229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Доходы, от использования имущества, находящегося в</w:t>
      </w:r>
      <w:r w:rsidR="00732057" w:rsidRPr="0001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 муниципальной собственности</w:t>
      </w:r>
    </w:p>
    <w:p w:rsidR="00214207" w:rsidRPr="00013229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013229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Доходы от использования имущества, находящегося в государственной собственности Таштагольского </w:t>
      </w:r>
      <w:r w:rsidR="006F3C27" w:rsidRPr="0001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01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планируются администраторами доходов КУМИ с учетом динамики поступлений платежей в бюджет</w:t>
      </w:r>
      <w:r w:rsidR="006F3C27" w:rsidRPr="0001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013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изменения доходной базы (реализации имущества, находящегося в государственной собственности, продажа земельных участков, заключение новых договоров аренды земли и имущества, индексация ставок арендной платы). </w:t>
      </w:r>
    </w:p>
    <w:p w:rsidR="00214207" w:rsidRPr="00013229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от использования имущества, находящегося в государственной и муниципальной</w:t>
      </w:r>
      <w:r w:rsidR="00732057"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включают в себя </w:t>
      </w: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платежи:</w:t>
      </w:r>
    </w:p>
    <w:p w:rsidR="00214207" w:rsidRPr="00013229" w:rsidRDefault="006F3C2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3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прогнозируются на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DA046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59900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на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60000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на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60642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на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61370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тыс. рублей; </w:t>
      </w:r>
    </w:p>
    <w:p w:rsidR="00214207" w:rsidRPr="00013229" w:rsidRDefault="00214207" w:rsidP="00DA0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получаемые в виде арендной платы</w:t>
      </w:r>
      <w:r w:rsidRPr="00013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средства от продажи права на заключение договоров за земли, находящиеся в собственности</w:t>
      </w:r>
      <w:r w:rsidRPr="00013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C27" w:rsidRPr="000132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округов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прогнозируются в 202</w:t>
      </w:r>
      <w:r w:rsidR="006F3C2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в сумме </w:t>
      </w:r>
      <w:r w:rsidR="00DA046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35185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в  202</w:t>
      </w:r>
      <w:r w:rsidR="006F3C2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17600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="006F3C2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17900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="006F3C2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FD7D6E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18000</w:t>
      </w:r>
      <w:r w:rsid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214207" w:rsidRPr="00013229" w:rsidRDefault="00DA0463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доходы от сдачи в аренду имущества, составляющего казну муниципальных округов, о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жидаемое поступление доходов по арендной плате имущества в бюджет 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округа 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 в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в сумме </w:t>
      </w:r>
      <w:r w:rsidR="002A69A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27660C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A69A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в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="002A69A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104</w:t>
      </w:r>
      <w:r w:rsidR="0027660C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2A69A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105</w:t>
      </w:r>
      <w:r w:rsidR="0027660C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2A69A3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106</w:t>
      </w:r>
      <w:r w:rsidR="0027660C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="00214207" w:rsidRPr="00013229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рублей;</w:t>
      </w:r>
    </w:p>
    <w:p w:rsidR="00214207" w:rsidRPr="00B23196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доходы от платы по соглашениям об установлении сервитута в отношении земельных участков, находящихся в государственной и муниципальной собственности. Ожидаемое поступление доходов в бюджет </w:t>
      </w:r>
      <w:r w:rsidR="00B23196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округа 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 в </w:t>
      </w:r>
      <w:r w:rsidR="00B23196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в сумме 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3425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в 202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A69A3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1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170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2A69A3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рублей, 202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2A69A3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7660C" w:rsidRPr="00B23196">
        <w:rPr>
          <w:rFonts w:ascii="Times New Roman" w:eastAsia="Times New Roman" w:hAnsi="Times New Roman" w:cs="Times New Roman"/>
          <w:sz w:val="28"/>
          <w:szCs w:val="24"/>
          <w:lang w:eastAsia="ru-RU"/>
        </w:rPr>
        <w:t>190,0 тыс. рублей.</w:t>
      </w:r>
    </w:p>
    <w:p w:rsidR="0027660C" w:rsidRPr="000D6428" w:rsidRDefault="0027660C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14207" w:rsidRPr="00B06CE1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Плата за негативное воздействие на окружающую среду</w:t>
      </w:r>
    </w:p>
    <w:p w:rsidR="00214207" w:rsidRPr="00B06CE1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B06CE1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Главным администратором доходов платы за негативное воздействие на окружающую среду  является  Южно-Сибирское межрегиональное управление Росприроднадзора.</w:t>
      </w:r>
    </w:p>
    <w:p w:rsidR="00214207" w:rsidRPr="00B06CE1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прогнозных поступлений выполнен на 202</w:t>
      </w:r>
      <w:r w:rsidR="00C044EE"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06CE1"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14B43"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по нормативу </w:t>
      </w:r>
      <w:r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60% с использованием индексов потребительных цен, установленных Минэкономразвития России, согласно прогнозируемому периоду. </w:t>
      </w:r>
      <w:r w:rsidR="00B06CE1"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2026 года плата за негативное </w:t>
      </w:r>
      <w:r w:rsidR="00B06CE1"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воздействие будет зачисляться в бюджет субъекта Российской Федерации в размере 100%.</w:t>
      </w:r>
      <w:r w:rsidRPr="00B0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поступления платежей по прогнозу составит: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81312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тыс.рублей;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тыс.рублей;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тыс.рублей;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044EE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тыс.рублей.</w:t>
      </w:r>
    </w:p>
    <w:p w:rsidR="00214207" w:rsidRPr="00B06CE1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207" w:rsidRPr="00B06CE1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доходы от оказания платных услуг  и компенсации затрат государства</w:t>
      </w:r>
    </w:p>
    <w:p w:rsidR="00214207" w:rsidRPr="00B06CE1" w:rsidRDefault="00214207" w:rsidP="0021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</w:t>
      </w:r>
      <w:r w:rsid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доходов  от оказания платных</w:t>
      </w:r>
      <w:r w:rsidR="00E14B43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за 202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B43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составит 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20975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тыс.рублей.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прогнозных данных администраторов доходов планируемый объем поступления платежей составит: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21976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тыс.рублей,</w:t>
      </w:r>
    </w:p>
    <w:p w:rsidR="00214207" w:rsidRPr="00B06CE1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23124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тыс.рублей,</w:t>
      </w:r>
    </w:p>
    <w:p w:rsidR="00B06CE1" w:rsidRPr="00B06CE1" w:rsidRDefault="00214207" w:rsidP="00B06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="00B06CE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24377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тыс.рублей.</w:t>
      </w:r>
    </w:p>
    <w:p w:rsidR="00214207" w:rsidRPr="000D6428" w:rsidRDefault="00214207" w:rsidP="0021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4207" w:rsidRPr="006B05B1" w:rsidRDefault="00214207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от продажи материальных и нематериальных активов</w:t>
      </w:r>
    </w:p>
    <w:p w:rsidR="00214207" w:rsidRPr="006B05B1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</w:t>
      </w:r>
      <w:r w:rsidR="006B05B1"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неналоговых доходов </w:t>
      </w:r>
      <w:r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бюджета </w:t>
      </w:r>
      <w:r w:rsidR="006B05B1"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округа </w:t>
      </w:r>
      <w:r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>учтены доходы от продажи материальных и нематериальных активов, которые планируются администраторам доходов КУМИ.</w:t>
      </w:r>
    </w:p>
    <w:p w:rsidR="00214207" w:rsidRPr="006B05B1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5B1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доходы от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материальных и нематериальных активов на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включают следующие виды доходов:</w:t>
      </w:r>
    </w:p>
    <w:p w:rsidR="00AE1CB1" w:rsidRPr="00AE1CB1" w:rsidRDefault="00214207" w:rsidP="00AE1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продажи земельных участков, государственная собственность на которые не разграничена, прогнозируются на 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Pr="00AE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6B05B1" w:rsidRPr="00AE1CB1">
        <w:rPr>
          <w:rFonts w:ascii="Times New Roman" w:eastAsia="Times New Roman" w:hAnsi="Times New Roman" w:cs="Times New Roman"/>
          <w:sz w:val="28"/>
          <w:szCs w:val="28"/>
          <w:lang w:eastAsia="ru-RU"/>
        </w:rPr>
        <w:t>155871</w:t>
      </w:r>
      <w:r w:rsidRPr="00AE1C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 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в сумме </w:t>
      </w:r>
      <w:r w:rsidR="00E14B43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2273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 на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14B43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1885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</w:t>
      </w:r>
      <w:proofErr w:type="gramStart"/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 на 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E14B43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1237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</w:t>
      </w:r>
      <w:r w:rsid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данного дохода в 2025 году, связано с продажей </w:t>
      </w:r>
      <w:r w:rsidR="00AE1CB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земельных участков в городе-курорте Шерегеш</w:t>
      </w:r>
      <w:r w:rsidR="00B06CE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Пономарев</w:t>
      </w:r>
      <w:r w:rsidR="00AE1CB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B06CE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 </w:t>
      </w:r>
      <w:r w:rsidR="00AE1CB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размере 102149,0 тыс</w:t>
      </w:r>
      <w:proofErr w:type="gramStart"/>
      <w:r w:rsidR="00AE1CB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="00AE1CB1"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ублей</w:t>
      </w:r>
      <w:r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214207" w:rsidRPr="00AE1CB1" w:rsidRDefault="00214207" w:rsidP="00AE1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доходы от реализации иного имущества, находящегося в собственности муниципальных </w:t>
      </w:r>
      <w:r w:rsid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</w:t>
      </w:r>
      <w:r w:rsidRP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муниципального имущества прогнозируются в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6B05B1"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19950</w:t>
      </w:r>
      <w:r w:rsidRPr="00B06CE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67D2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тыс.рублей, в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67D2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тыс.рублей, в 202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B05B1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4063</w:t>
      </w:r>
      <w:r w:rsidR="006B67D2" w:rsidRPr="006B05B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тыс.рублей.</w:t>
      </w:r>
    </w:p>
    <w:p w:rsidR="006B67D2" w:rsidRPr="000D6428" w:rsidRDefault="006B67D2" w:rsidP="006B6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4207" w:rsidRPr="00BA3C1C" w:rsidRDefault="00214207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Штрафы, санкции, возмещение ущерба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Доходы бюджета</w:t>
      </w:r>
      <w:r w:rsid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округа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поступлению штрафов, санкций и возмещению ущерба планир</w:t>
      </w:r>
      <w:r w:rsid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уются от ожидаемого поступления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составят: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7F748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7F748F">
        <w:rPr>
          <w:rFonts w:ascii="Times New Roman" w:eastAsia="Times New Roman" w:hAnsi="Times New Roman" w:cs="Times New Roman"/>
          <w:sz w:val="28"/>
          <w:szCs w:val="24"/>
          <w:lang w:eastAsia="ru-RU"/>
        </w:rPr>
        <w:t>8365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</w:t>
      </w:r>
      <w:r w:rsidR="00BD4C8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рублей;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48F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</w:t>
      </w:r>
      <w:r w:rsidR="00BD4C8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рублей; 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48F">
        <w:rPr>
          <w:rFonts w:ascii="Times New Roman" w:eastAsia="Times New Roman" w:hAnsi="Times New Roman" w:cs="Times New Roman"/>
          <w:sz w:val="28"/>
          <w:szCs w:val="24"/>
          <w:lang w:eastAsia="ru-RU"/>
        </w:rPr>
        <w:t>250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</w:t>
      </w:r>
      <w:r w:rsidR="00BD4C8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рублей;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EF628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48F">
        <w:rPr>
          <w:rFonts w:ascii="Times New Roman" w:eastAsia="Times New Roman" w:hAnsi="Times New Roman" w:cs="Times New Roman"/>
          <w:sz w:val="28"/>
          <w:szCs w:val="24"/>
          <w:lang w:eastAsia="ru-RU"/>
        </w:rPr>
        <w:t>300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</w:t>
      </w:r>
      <w:r w:rsidR="00BD4C8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рублей.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C1C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Штрафы, санкции, возмещение ущерба являются нерегулярными платежами и поступают по фактическому начислению.</w:t>
      </w:r>
    </w:p>
    <w:p w:rsidR="00AE1CB1" w:rsidRPr="00BA3C1C" w:rsidRDefault="00AE1CB1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207" w:rsidRPr="000D6428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214207" w:rsidRPr="00BA3C1C" w:rsidRDefault="00214207" w:rsidP="00214207">
      <w:pPr>
        <w:spacing w:after="0" w:line="360" w:lineRule="auto"/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Прочие неналоговые доходы</w:t>
      </w:r>
    </w:p>
    <w:p w:rsidR="00214207" w:rsidRPr="00BA3C1C" w:rsidRDefault="00BA3C1C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Доходы </w:t>
      </w:r>
      <w:r w:rsidR="0021420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бюджета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округа</w:t>
      </w:r>
      <w:r w:rsidR="0021420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поступлению прочих неналоговых доходов планир</w:t>
      </w:r>
      <w:r w:rsidR="00E8221A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уются от ожидаемого поступления </w:t>
      </w:r>
      <w:r w:rsidR="0021420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1420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="00E7447B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214207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составят: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6053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рублей;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91067E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1600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,0 тыс. рублей; </w:t>
      </w:r>
    </w:p>
    <w:p w:rsidR="00214207" w:rsidRPr="00BA3C1C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91067E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1630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рублей;</w:t>
      </w: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91067E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BA3C1C"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1660</w:t>
      </w:r>
      <w:r w:rsidRPr="00BA3C1C">
        <w:rPr>
          <w:rFonts w:ascii="Times New Roman" w:eastAsia="Times New Roman" w:hAnsi="Times New Roman" w:cs="Times New Roman"/>
          <w:sz w:val="28"/>
          <w:szCs w:val="24"/>
          <w:lang w:eastAsia="ru-RU"/>
        </w:rPr>
        <w:t>,0 тыс. рублей.</w:t>
      </w:r>
    </w:p>
    <w:p w:rsidR="00D262F6" w:rsidRPr="00CC1F9B" w:rsidRDefault="00D262F6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4C1D85" w:rsidRDefault="006F19C6" w:rsidP="006F19C6">
      <w:pPr>
        <w:pStyle w:val="a5"/>
        <w:spacing w:after="0"/>
        <w:ind w:left="2124" w:firstLine="708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</w:t>
      </w:r>
      <w:r w:rsidR="00214207">
        <w:rPr>
          <w:b/>
          <w:bCs/>
          <w:szCs w:val="28"/>
        </w:rPr>
        <w:t>Расходы бюджета</w:t>
      </w:r>
    </w:p>
    <w:p w:rsidR="00214207" w:rsidRPr="00001617" w:rsidRDefault="00C16AC0" w:rsidP="00C16AC0">
      <w:pPr>
        <w:pStyle w:val="a5"/>
        <w:spacing w:after="0"/>
        <w:ind w:left="142" w:firstLine="566"/>
        <w:jc w:val="both"/>
        <w:rPr>
          <w:b/>
          <w:bCs/>
          <w:szCs w:val="28"/>
          <w:u w:val="single"/>
        </w:rPr>
      </w:pPr>
      <w:r>
        <w:rPr>
          <w:szCs w:val="28"/>
        </w:rPr>
        <w:t xml:space="preserve">Формирование расходной части бюджета осуществлялось в соответствии с  порядком и методикой планирования бюджетных ассигнований бюджета Таштагольского муниципального </w:t>
      </w:r>
      <w:r w:rsidR="000D6428">
        <w:rPr>
          <w:rFonts w:eastAsia="Calibri"/>
          <w:szCs w:val="28"/>
        </w:rPr>
        <w:t>округа</w:t>
      </w:r>
      <w:r>
        <w:rPr>
          <w:szCs w:val="28"/>
        </w:rPr>
        <w:t xml:space="preserve">, утвержденной Таштагольского муниципального </w:t>
      </w:r>
      <w:r w:rsidR="00AE1CB1">
        <w:rPr>
          <w:szCs w:val="28"/>
        </w:rPr>
        <w:t>округа</w:t>
      </w:r>
      <w:r>
        <w:rPr>
          <w:szCs w:val="28"/>
        </w:rPr>
        <w:t xml:space="preserve">  постановлением  «О реализации норм Бюджетного кодекса Российской Федерации от 23.11.2018 № 961-п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приложение №8).</w:t>
      </w:r>
    </w:p>
    <w:p w:rsidR="00214207" w:rsidRPr="006A111D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Расходы бюджета муниципального образования «Таштагольский </w:t>
      </w:r>
      <w:proofErr w:type="gramStart"/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</w:t>
      </w:r>
      <w:proofErr w:type="gramEnd"/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» прогнозируются:</w:t>
      </w:r>
    </w:p>
    <w:p w:rsidR="00015273" w:rsidRDefault="00015273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6A111D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размере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млрд.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551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млн.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573,10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</w:t>
      </w:r>
      <w:r w:rsidRPr="000E70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рублей.</w:t>
      </w:r>
    </w:p>
    <w:p w:rsidR="00FB7E23" w:rsidRPr="006A111D" w:rsidRDefault="00FB7E23" w:rsidP="00FB7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размере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млрд.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410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млн. 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617,20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</w:t>
      </w:r>
      <w:r w:rsidRPr="000E70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13ED" w:rsidRDefault="00C213ED" w:rsidP="00C21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размере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 млрд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273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млн.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664,30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</w:t>
      </w:r>
      <w:r w:rsidRPr="00D467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A111D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рублей.</w:t>
      </w:r>
    </w:p>
    <w:p w:rsidR="00FB7E23" w:rsidRPr="006A111D" w:rsidRDefault="00FB7E23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B00668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5047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бюджета на 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50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сформированы исходя из объема действующих расходных обязательств в </w:t>
      </w:r>
      <w:r w:rsidRPr="0095047B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50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</w:t>
      </w: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>, с учетом необходимости безусловного исполнения всех принятых публично нормативных обязательств, сохранения мер социальной поддержки населения с применением принципа адресности и нуждаемости, реализации майских Указов Президента Российской Федерации, реализации решений, принятых и планируемых к принятию на очередной финансовый год</w:t>
      </w:r>
      <w:proofErr w:type="gramEnd"/>
    </w:p>
    <w:p w:rsidR="00214207" w:rsidRPr="00B00668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бюджета на 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A43A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 рассчитываются в условиях жесткой экономии бюджетных средств.</w:t>
      </w:r>
    </w:p>
    <w:p w:rsidR="00214207" w:rsidRPr="00B00668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0668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объеме расходов планируются переданные полномочия из областного бюджета.</w:t>
      </w:r>
    </w:p>
    <w:p w:rsidR="00214207" w:rsidRPr="004F6839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оплаты труда работников бюджетной сферы планируется</w:t>
      </w:r>
      <w:r w:rsidR="0001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7E23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 полном  объеме</w:t>
      </w: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связи с недос</w:t>
      </w:r>
      <w:r w:rsidR="00AE1CB1"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таточностью доходной базы округа</w:t>
      </w: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14207" w:rsidRPr="004F6839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Муниципальные программы планируются на основании проектов о внесении изменений в постановления Администрации Таштагольского муниципального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E358E" w:rsidRPr="00EE358E">
        <w:rPr>
          <w:sz w:val="28"/>
          <w:szCs w:val="28"/>
        </w:rPr>
        <w:t xml:space="preserve"> </w:t>
      </w:r>
      <w:r w:rsidR="00EE358E" w:rsidRPr="00EE35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проекте бюджета предусмотрены средства на реализацию </w:t>
      </w:r>
      <w:r w:rsidR="00EE35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муниципальных </w:t>
      </w:r>
      <w:r w:rsidR="00EE358E" w:rsidRPr="00EE358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проектов, направленных на достижение соответствующих результатов реализации федеральных</w:t>
      </w:r>
      <w:r w:rsidR="00EE358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E358E" w:rsidRPr="00EE35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региональных проектов, обеспечивающих достижение национальных целей развития Российской Федерации на период до 2030 года, поставленных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214207" w:rsidRPr="00AB0679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0D642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4F6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Pr="000152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предусмотрено финансирование 2</w:t>
      </w:r>
      <w:r w:rsidR="00CF472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01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муниципальных программ</w:t>
      </w:r>
      <w:r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Таштагольского муниципального </w:t>
      </w:r>
      <w:r w:rsidR="000D6428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EE358E"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358E"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>бщий объем</w:t>
      </w:r>
      <w:r w:rsidR="00EE358E"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на реализацию </w:t>
      </w:r>
      <w:r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реализацию</w:t>
      </w:r>
      <w:r w:rsidR="00EE358E"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муниципальных программ </w:t>
      </w:r>
      <w:r w:rsidRPr="00AB0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составляет:</w:t>
      </w:r>
    </w:p>
    <w:p w:rsidR="00214207" w:rsidRPr="00B538E5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0D6428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</w:t>
      </w:r>
      <w:r w:rsidR="00B538E5" w:rsidRPr="00DC356D">
        <w:rPr>
          <w:rFonts w:ascii="Times New Roman" w:eastAsia="Times New Roman" w:hAnsi="Times New Roman" w:cs="Times New Roman"/>
          <w:sz w:val="28"/>
          <w:szCs w:val="24"/>
          <w:lang w:eastAsia="ru-RU"/>
        </w:rPr>
        <w:t>4336293.32</w:t>
      </w:r>
      <w:r w:rsidR="00AE1CB1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рублей, </w:t>
      </w:r>
    </w:p>
    <w:p w:rsidR="00214207" w:rsidRPr="00B538E5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0D6428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</w:t>
      </w:r>
      <w:r w:rsidR="00B538E5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4155867.20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</w:t>
      </w:r>
    </w:p>
    <w:p w:rsidR="00FB7E23" w:rsidRPr="00AB0679" w:rsidRDefault="00FB7E23" w:rsidP="00FB7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0D6428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</w:t>
      </w:r>
      <w:r w:rsidR="00B538E5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2977130.24</w:t>
      </w:r>
      <w:r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</w:t>
      </w:r>
    </w:p>
    <w:p w:rsidR="00FB7E23" w:rsidRPr="00AB0679" w:rsidRDefault="00FB7E23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358E" w:rsidRDefault="00214207" w:rsidP="00EE358E">
      <w:pPr>
        <w:pStyle w:val="Default"/>
        <w:ind w:firstLine="708"/>
        <w:rPr>
          <w:sz w:val="28"/>
          <w:szCs w:val="28"/>
        </w:rPr>
      </w:pPr>
      <w:r w:rsidRPr="00AB0679">
        <w:rPr>
          <w:rFonts w:eastAsia="Times New Roman"/>
          <w:sz w:val="28"/>
          <w:lang w:eastAsia="ru-RU"/>
        </w:rPr>
        <w:t>Доля программных расходов бюджета на 202</w:t>
      </w:r>
      <w:r w:rsidR="000D6428">
        <w:rPr>
          <w:rFonts w:eastAsia="Times New Roman"/>
          <w:sz w:val="28"/>
          <w:lang w:eastAsia="ru-RU"/>
        </w:rPr>
        <w:t>6</w:t>
      </w:r>
      <w:r w:rsidRPr="00AB0679">
        <w:rPr>
          <w:rFonts w:eastAsia="Times New Roman"/>
          <w:sz w:val="28"/>
          <w:lang w:eastAsia="ru-RU"/>
        </w:rPr>
        <w:t xml:space="preserve"> год </w:t>
      </w:r>
      <w:r w:rsidRPr="00B538E5">
        <w:rPr>
          <w:rFonts w:eastAsia="Times New Roman"/>
          <w:sz w:val="28"/>
          <w:lang w:eastAsia="ru-RU"/>
        </w:rPr>
        <w:t xml:space="preserve">составила </w:t>
      </w:r>
      <w:r w:rsidR="00B538E5" w:rsidRPr="00B538E5">
        <w:rPr>
          <w:rFonts w:eastAsia="Times New Roman"/>
          <w:sz w:val="28"/>
          <w:lang w:eastAsia="ru-RU"/>
        </w:rPr>
        <w:t>95.27</w:t>
      </w:r>
      <w:r w:rsidRPr="00B538E5">
        <w:rPr>
          <w:rFonts w:eastAsia="Times New Roman"/>
          <w:sz w:val="28"/>
          <w:lang w:eastAsia="ru-RU"/>
        </w:rPr>
        <w:t>%.</w:t>
      </w:r>
      <w:r w:rsidRPr="00AB0679">
        <w:rPr>
          <w:rFonts w:eastAsia="Times New Roman"/>
          <w:sz w:val="28"/>
          <w:lang w:eastAsia="ru-RU"/>
        </w:rPr>
        <w:t xml:space="preserve"> </w:t>
      </w:r>
      <w:r w:rsidR="00D262F6" w:rsidRPr="00AB0679">
        <w:rPr>
          <w:rFonts w:eastAsia="Times New Roman"/>
          <w:sz w:val="28"/>
          <w:lang w:eastAsia="ru-RU"/>
        </w:rPr>
        <w:tab/>
      </w:r>
      <w:r w:rsidR="00D262F6" w:rsidRPr="00AB0679">
        <w:rPr>
          <w:rFonts w:eastAsia="Times New Roman"/>
          <w:sz w:val="28"/>
          <w:lang w:eastAsia="ru-RU"/>
        </w:rPr>
        <w:tab/>
      </w:r>
      <w:r w:rsidR="00EE358E" w:rsidRPr="00AB0679">
        <w:rPr>
          <w:sz w:val="28"/>
          <w:szCs w:val="28"/>
        </w:rPr>
        <w:t xml:space="preserve">Реализация муниципальных проектов </w:t>
      </w:r>
      <w:r w:rsidR="00EE358E" w:rsidRPr="00AB0679">
        <w:rPr>
          <w:rFonts w:eastAsia="Times New Roman"/>
          <w:sz w:val="28"/>
          <w:lang w:eastAsia="ru-RU"/>
        </w:rPr>
        <w:t xml:space="preserve">Таштагольского муниципального </w:t>
      </w:r>
      <w:r w:rsidR="000D6428">
        <w:rPr>
          <w:rFonts w:eastAsia="Calibri"/>
          <w:sz w:val="28"/>
          <w:szCs w:val="28"/>
          <w:lang w:eastAsia="ru-RU"/>
        </w:rPr>
        <w:t>округа</w:t>
      </w:r>
      <w:r w:rsidR="000D6428" w:rsidRPr="00AB0679">
        <w:rPr>
          <w:sz w:val="28"/>
          <w:szCs w:val="28"/>
        </w:rPr>
        <w:t xml:space="preserve"> </w:t>
      </w:r>
      <w:r w:rsidR="00EE358E" w:rsidRPr="00AB0679">
        <w:rPr>
          <w:sz w:val="28"/>
          <w:szCs w:val="28"/>
        </w:rPr>
        <w:t xml:space="preserve">осуществляется в рамках утвержденных  муниципальных программ </w:t>
      </w:r>
      <w:r w:rsidR="00EE358E" w:rsidRPr="00AB0679">
        <w:rPr>
          <w:rFonts w:eastAsia="Times New Roman"/>
          <w:sz w:val="28"/>
          <w:lang w:eastAsia="ru-RU"/>
        </w:rPr>
        <w:t xml:space="preserve">Таштагольского муниципального </w:t>
      </w:r>
      <w:r w:rsidR="000D6428">
        <w:rPr>
          <w:rFonts w:eastAsia="Calibri"/>
          <w:sz w:val="28"/>
          <w:szCs w:val="28"/>
          <w:lang w:eastAsia="ru-RU"/>
        </w:rPr>
        <w:t>округа</w:t>
      </w:r>
      <w:r w:rsidR="00EE358E" w:rsidRPr="00AB0679">
        <w:rPr>
          <w:sz w:val="28"/>
          <w:szCs w:val="28"/>
        </w:rPr>
        <w:t>.</w:t>
      </w:r>
      <w:r w:rsidR="00EE358E">
        <w:rPr>
          <w:sz w:val="28"/>
          <w:szCs w:val="28"/>
        </w:rPr>
        <w:t xml:space="preserve"> </w:t>
      </w:r>
    </w:p>
    <w:p w:rsidR="00214207" w:rsidRPr="00711C2E" w:rsidRDefault="00EE358E" w:rsidP="00EE3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358E">
        <w:rPr>
          <w:rFonts w:ascii="Times New Roman" w:hAnsi="Times New Roman" w:cs="Times New Roman"/>
          <w:color w:val="000000"/>
          <w:sz w:val="28"/>
          <w:szCs w:val="28"/>
        </w:rPr>
        <w:t>Информация об объемах бюджетных ассигнований местного бюджета на реализацию муниципальных  программ представлена ниже</w:t>
      </w:r>
      <w:r w:rsidR="00D262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E358E" w:rsidRDefault="00EE358E" w:rsidP="002142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Pr="00711C2E" w:rsidRDefault="00214207" w:rsidP="002142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1C2E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</w:t>
      </w:r>
    </w:p>
    <w:p w:rsidR="00DC356D" w:rsidRDefault="00DC356D" w:rsidP="00602AE5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tbl>
      <w:tblPr>
        <w:tblW w:w="10611" w:type="dxa"/>
        <w:tblInd w:w="93" w:type="dxa"/>
        <w:tblLook w:val="04A0" w:firstRow="1" w:lastRow="0" w:firstColumn="1" w:lastColumn="0" w:noHBand="0" w:noVBand="1"/>
      </w:tblPr>
      <w:tblGrid>
        <w:gridCol w:w="6252"/>
        <w:gridCol w:w="1559"/>
        <w:gridCol w:w="1400"/>
        <w:gridCol w:w="1400"/>
      </w:tblGrid>
      <w:tr w:rsidR="00DC356D" w:rsidRPr="00DC356D" w:rsidTr="00DC356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56D" w:rsidRPr="00DC356D" w:rsidRDefault="00DC356D" w:rsidP="00DC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56D" w:rsidRPr="00DC356D" w:rsidRDefault="00DC356D" w:rsidP="00DC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56D" w:rsidRPr="00DC356D" w:rsidRDefault="00DC356D" w:rsidP="00DC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56D" w:rsidRPr="00DC356D" w:rsidRDefault="00DC356D" w:rsidP="00DC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1 362 688,48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1 387 979,22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1 388 668,36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19 508,40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13 520,82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17 229,90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245 353,30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218 757,70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232 125,40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13 957,03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7 493,37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10 640,80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34 273,00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33 037,36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25 698,90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92 867,00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838 911,19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62 673,70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 в Таштагольском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284 163,55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278 303,46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278 359,78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197 481,30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91 941,06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83 195,84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83 362,84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DC356D" w:rsidRPr="00DC356D" w:rsidTr="00DC356D">
        <w:trPr>
          <w:trHeight w:val="129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1 825 781,60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960 687,62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547 688,96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142 444,00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143 323,73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140 020,70</w:t>
            </w:r>
          </w:p>
        </w:tc>
      </w:tr>
      <w:tr w:rsidR="00DC356D" w:rsidRPr="00DC356D" w:rsidTr="00DC356D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6D" w:rsidRPr="00DC356D" w:rsidRDefault="00DC356D" w:rsidP="00DC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56D" w:rsidRPr="00DC356D" w:rsidRDefault="00DC356D" w:rsidP="00DC3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</w:tbl>
    <w:p w:rsidR="00DC356D" w:rsidRDefault="00DC356D" w:rsidP="00602AE5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602AE5" w:rsidRDefault="00602AE5" w:rsidP="00602A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Непрограммное направление деятельности</w:t>
      </w:r>
    </w:p>
    <w:p w:rsidR="00BD4C8C" w:rsidRDefault="00BD4C8C" w:rsidP="00602AE5">
      <w:pPr>
        <w:pStyle w:val="Default"/>
        <w:jc w:val="center"/>
        <w:rPr>
          <w:sz w:val="28"/>
          <w:szCs w:val="28"/>
        </w:rPr>
      </w:pPr>
    </w:p>
    <w:p w:rsidR="00602AE5" w:rsidRPr="00484239" w:rsidRDefault="00602AE5" w:rsidP="0048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Общий объем средств на реализацию непрограммного направления деятельности </w:t>
      </w:r>
      <w:r w:rsidR="00AB0679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(в том числе условно-утвержденные расходы на плановые периоды 202</w:t>
      </w:r>
      <w:r w:rsidR="00C213ED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AB0679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/202</w:t>
      </w:r>
      <w:r w:rsidR="00C213ED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AB0679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гг.) 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 на 202</w:t>
      </w:r>
      <w:r w:rsidR="00C213ED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</w:t>
      </w:r>
      <w:r w:rsidR="00B538E5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215279.78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рублей, на 202</w:t>
      </w:r>
      <w:r w:rsidR="00C213ED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 </w:t>
      </w:r>
      <w:r w:rsidR="00B538E5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254749.99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рублей, на 202</w:t>
      </w:r>
      <w:r w:rsidR="00C213ED"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–</w:t>
      </w:r>
      <w:r w:rsid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38E5" w:rsidRPr="00B538E5">
        <w:rPr>
          <w:rFonts w:ascii="Times New Roman" w:eastAsia="Times New Roman" w:hAnsi="Times New Roman" w:cs="Times New Roman"/>
          <w:sz w:val="28"/>
          <w:szCs w:val="24"/>
          <w:lang w:eastAsia="ru-RU"/>
        </w:rPr>
        <w:t>296534.</w:t>
      </w:r>
      <w:r w:rsidR="00B538E5" w:rsidRPr="00DC356D">
        <w:rPr>
          <w:rFonts w:ascii="Times New Roman" w:eastAsia="Times New Roman" w:hAnsi="Times New Roman" w:cs="Times New Roman"/>
          <w:sz w:val="28"/>
          <w:szCs w:val="24"/>
          <w:lang w:eastAsia="ru-RU"/>
        </w:rPr>
        <w:t>06</w:t>
      </w:r>
      <w:r w:rsidRPr="004842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 </w:t>
      </w:r>
    </w:p>
    <w:p w:rsidR="00954732" w:rsidRDefault="00602AE5" w:rsidP="00602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4A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Непрограммную часть расходов бюджета составили бюджетные ассигнования резервный фонд, обеспечение деятельности муниципальных органов</w:t>
      </w:r>
      <w:r w:rsidR="00BD4C8C" w:rsidRPr="00F94A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94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</w:t>
      </w:r>
      <w:r w:rsidRPr="00BD4C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другие вопросы непрограммного характера.</w:t>
      </w:r>
    </w:p>
    <w:p w:rsidR="00214207" w:rsidRPr="00B24A36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4C8C" w:rsidRDefault="00BD4C8C" w:rsidP="00BD4C8C">
      <w:pPr>
        <w:pStyle w:val="Default"/>
      </w:pPr>
    </w:p>
    <w:p w:rsidR="00BD4C8C" w:rsidRDefault="00BD4C8C" w:rsidP="00BD4C8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финансирования дефицита областного бюджета</w:t>
      </w:r>
    </w:p>
    <w:p w:rsidR="00BD4C8C" w:rsidRDefault="00BD4C8C" w:rsidP="00BD4C8C">
      <w:pPr>
        <w:pStyle w:val="Default"/>
        <w:jc w:val="center"/>
        <w:rPr>
          <w:sz w:val="28"/>
          <w:szCs w:val="28"/>
        </w:rPr>
      </w:pPr>
    </w:p>
    <w:p w:rsidR="00BD4C8C" w:rsidRDefault="00BD4C8C" w:rsidP="00BD4C8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Дефицит  бюджета предусмотрен:</w:t>
      </w:r>
    </w:p>
    <w:p w:rsidR="00484239" w:rsidRDefault="00484239" w:rsidP="00BD4C8C">
      <w:pPr>
        <w:pStyle w:val="Default"/>
        <w:jc w:val="center"/>
        <w:rPr>
          <w:sz w:val="28"/>
          <w:szCs w:val="28"/>
        </w:rPr>
      </w:pP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D4C8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сумме</w:t>
      </w:r>
      <w:r w:rsidR="001C14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="00FB7E23" w:rsidRPr="00FB7E23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1C14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7E23">
        <w:rPr>
          <w:rFonts w:ascii="Times New Roman" w:eastAsia="Times New Roman" w:hAnsi="Times New Roman" w:cs="Times New Roman"/>
          <w:sz w:val="28"/>
          <w:szCs w:val="24"/>
          <w:lang w:eastAsia="ru-RU"/>
        </w:rPr>
        <w:t>млн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рублей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, без учета безвозмездных поступлений и поступлений налоговых доходов по дополни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тельным нормативам отчислений</w:t>
      </w:r>
      <w:r w:rsidR="00BD4C8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D4C8C" w:rsidRDefault="00BD4C8C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E11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- 202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 планируется  без дефицита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14207" w:rsidRPr="00D84798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 w:rsidR="00C213ED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предоставляет проект программы муниципальных гарантий, в связи с тем, что не планирует в 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C213ED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годах предоставлять гарантии юридическим лицам.</w:t>
      </w:r>
    </w:p>
    <w:p w:rsidR="00214207" w:rsidRPr="00D84798" w:rsidRDefault="00214207" w:rsidP="0021420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74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D84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Default="00214207" w:rsidP="0021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207" w:rsidRDefault="00214207" w:rsidP="00AE2D87">
      <w:pPr>
        <w:pStyle w:val="a5"/>
        <w:spacing w:after="0"/>
        <w:ind w:left="2124" w:firstLine="708"/>
        <w:rPr>
          <w:b/>
          <w:bCs/>
          <w:szCs w:val="28"/>
          <w:u w:val="single"/>
        </w:rPr>
      </w:pPr>
    </w:p>
    <w:p w:rsidR="00214207" w:rsidRDefault="00214207" w:rsidP="00AE2D87">
      <w:pPr>
        <w:pStyle w:val="a5"/>
        <w:spacing w:after="0"/>
        <w:ind w:left="2124" w:firstLine="708"/>
        <w:rPr>
          <w:b/>
          <w:bCs/>
          <w:szCs w:val="28"/>
          <w:u w:val="single"/>
        </w:rPr>
      </w:pPr>
    </w:p>
    <w:p w:rsidR="00214207" w:rsidRDefault="00214207" w:rsidP="00AE2D87">
      <w:pPr>
        <w:pStyle w:val="a5"/>
        <w:spacing w:after="0"/>
        <w:ind w:left="2124" w:firstLine="708"/>
        <w:rPr>
          <w:b/>
          <w:bCs/>
          <w:szCs w:val="28"/>
          <w:u w:val="single"/>
        </w:rPr>
      </w:pPr>
    </w:p>
    <w:p w:rsidR="00214207" w:rsidRDefault="00214207" w:rsidP="00AE2D87">
      <w:pPr>
        <w:pStyle w:val="a5"/>
        <w:spacing w:after="0"/>
        <w:ind w:left="2124" w:firstLine="708"/>
        <w:rPr>
          <w:b/>
          <w:bCs/>
          <w:szCs w:val="28"/>
          <w:u w:val="single"/>
        </w:rPr>
      </w:pPr>
    </w:p>
    <w:sectPr w:rsidR="00214207" w:rsidSect="00904E30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630"/>
    <w:multiLevelType w:val="hybridMultilevel"/>
    <w:tmpl w:val="2F1EE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702CEC"/>
    <w:multiLevelType w:val="hybridMultilevel"/>
    <w:tmpl w:val="0AA26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44"/>
    <w:rsid w:val="00012030"/>
    <w:rsid w:val="00013229"/>
    <w:rsid w:val="00015273"/>
    <w:rsid w:val="00024861"/>
    <w:rsid w:val="00046F47"/>
    <w:rsid w:val="000541C2"/>
    <w:rsid w:val="00073542"/>
    <w:rsid w:val="000768C0"/>
    <w:rsid w:val="000775D9"/>
    <w:rsid w:val="00087C10"/>
    <w:rsid w:val="00093996"/>
    <w:rsid w:val="000C7EA9"/>
    <w:rsid w:val="000D6428"/>
    <w:rsid w:val="000D6A76"/>
    <w:rsid w:val="000F0805"/>
    <w:rsid w:val="000F5751"/>
    <w:rsid w:val="00102C37"/>
    <w:rsid w:val="00113665"/>
    <w:rsid w:val="00116769"/>
    <w:rsid w:val="001332F5"/>
    <w:rsid w:val="00143BEB"/>
    <w:rsid w:val="00165FC5"/>
    <w:rsid w:val="00184CD2"/>
    <w:rsid w:val="001A0ED3"/>
    <w:rsid w:val="001B6F2B"/>
    <w:rsid w:val="001C14E4"/>
    <w:rsid w:val="00214207"/>
    <w:rsid w:val="00224036"/>
    <w:rsid w:val="00247555"/>
    <w:rsid w:val="002572F0"/>
    <w:rsid w:val="0027660C"/>
    <w:rsid w:val="002916D4"/>
    <w:rsid w:val="00297990"/>
    <w:rsid w:val="002A69A3"/>
    <w:rsid w:val="002B3CEC"/>
    <w:rsid w:val="002B5337"/>
    <w:rsid w:val="002D2970"/>
    <w:rsid w:val="002E066C"/>
    <w:rsid w:val="00303427"/>
    <w:rsid w:val="00335C2C"/>
    <w:rsid w:val="003363FE"/>
    <w:rsid w:val="00337421"/>
    <w:rsid w:val="00381312"/>
    <w:rsid w:val="00386E7E"/>
    <w:rsid w:val="003A59A2"/>
    <w:rsid w:val="00414BC7"/>
    <w:rsid w:val="00435CCC"/>
    <w:rsid w:val="00451F50"/>
    <w:rsid w:val="0045721A"/>
    <w:rsid w:val="00462A12"/>
    <w:rsid w:val="00466CCC"/>
    <w:rsid w:val="00482328"/>
    <w:rsid w:val="00484239"/>
    <w:rsid w:val="00495629"/>
    <w:rsid w:val="00496959"/>
    <w:rsid w:val="004B614A"/>
    <w:rsid w:val="004F7EAE"/>
    <w:rsid w:val="00540EB5"/>
    <w:rsid w:val="00540F8D"/>
    <w:rsid w:val="00575C87"/>
    <w:rsid w:val="005858C7"/>
    <w:rsid w:val="005A1583"/>
    <w:rsid w:val="005A244B"/>
    <w:rsid w:val="005C5F92"/>
    <w:rsid w:val="005D566F"/>
    <w:rsid w:val="005F6665"/>
    <w:rsid w:val="00602AE5"/>
    <w:rsid w:val="00605963"/>
    <w:rsid w:val="0061002C"/>
    <w:rsid w:val="006167D5"/>
    <w:rsid w:val="006200C8"/>
    <w:rsid w:val="00653548"/>
    <w:rsid w:val="00682343"/>
    <w:rsid w:val="0069062C"/>
    <w:rsid w:val="0069798F"/>
    <w:rsid w:val="006B05B1"/>
    <w:rsid w:val="006B3C6A"/>
    <w:rsid w:val="006B67D2"/>
    <w:rsid w:val="006F19C6"/>
    <w:rsid w:val="006F1ED2"/>
    <w:rsid w:val="006F3C27"/>
    <w:rsid w:val="00707DF1"/>
    <w:rsid w:val="00707FAF"/>
    <w:rsid w:val="00711DA5"/>
    <w:rsid w:val="00732057"/>
    <w:rsid w:val="00733477"/>
    <w:rsid w:val="00737522"/>
    <w:rsid w:val="00746ACC"/>
    <w:rsid w:val="00766D59"/>
    <w:rsid w:val="00795D70"/>
    <w:rsid w:val="007F1D2E"/>
    <w:rsid w:val="007F748F"/>
    <w:rsid w:val="00856D64"/>
    <w:rsid w:val="0089504D"/>
    <w:rsid w:val="008B3121"/>
    <w:rsid w:val="008B3B68"/>
    <w:rsid w:val="008C1A10"/>
    <w:rsid w:val="00904E30"/>
    <w:rsid w:val="0091067E"/>
    <w:rsid w:val="00922A78"/>
    <w:rsid w:val="009267B0"/>
    <w:rsid w:val="00954732"/>
    <w:rsid w:val="00974288"/>
    <w:rsid w:val="00977F83"/>
    <w:rsid w:val="009E2F44"/>
    <w:rsid w:val="009E570B"/>
    <w:rsid w:val="009E5CF9"/>
    <w:rsid w:val="00A60616"/>
    <w:rsid w:val="00AA769C"/>
    <w:rsid w:val="00AB0679"/>
    <w:rsid w:val="00AE1CB1"/>
    <w:rsid w:val="00AE2D87"/>
    <w:rsid w:val="00B06CE1"/>
    <w:rsid w:val="00B23196"/>
    <w:rsid w:val="00B33122"/>
    <w:rsid w:val="00B538E5"/>
    <w:rsid w:val="00B61847"/>
    <w:rsid w:val="00B62B4D"/>
    <w:rsid w:val="00B654CF"/>
    <w:rsid w:val="00B6792D"/>
    <w:rsid w:val="00BA3C1C"/>
    <w:rsid w:val="00BB0626"/>
    <w:rsid w:val="00BD4C8C"/>
    <w:rsid w:val="00BE0651"/>
    <w:rsid w:val="00C017FC"/>
    <w:rsid w:val="00C044EE"/>
    <w:rsid w:val="00C11347"/>
    <w:rsid w:val="00C16AC0"/>
    <w:rsid w:val="00C213ED"/>
    <w:rsid w:val="00C30A60"/>
    <w:rsid w:val="00C50D5C"/>
    <w:rsid w:val="00C93023"/>
    <w:rsid w:val="00CC1EF7"/>
    <w:rsid w:val="00CD14A8"/>
    <w:rsid w:val="00CF4722"/>
    <w:rsid w:val="00D00505"/>
    <w:rsid w:val="00D262F6"/>
    <w:rsid w:val="00D30F0F"/>
    <w:rsid w:val="00D33958"/>
    <w:rsid w:val="00D47206"/>
    <w:rsid w:val="00D47C08"/>
    <w:rsid w:val="00D51332"/>
    <w:rsid w:val="00D60116"/>
    <w:rsid w:val="00D86E14"/>
    <w:rsid w:val="00DA0463"/>
    <w:rsid w:val="00DB17BC"/>
    <w:rsid w:val="00DB7E32"/>
    <w:rsid w:val="00DC356D"/>
    <w:rsid w:val="00DD67DC"/>
    <w:rsid w:val="00DE66C1"/>
    <w:rsid w:val="00DE6DBA"/>
    <w:rsid w:val="00DE797E"/>
    <w:rsid w:val="00E14B43"/>
    <w:rsid w:val="00E3288A"/>
    <w:rsid w:val="00E51C5F"/>
    <w:rsid w:val="00E55BFC"/>
    <w:rsid w:val="00E7278C"/>
    <w:rsid w:val="00E7447B"/>
    <w:rsid w:val="00E8221A"/>
    <w:rsid w:val="00EA09E7"/>
    <w:rsid w:val="00EA21BD"/>
    <w:rsid w:val="00EB6A3B"/>
    <w:rsid w:val="00EC1C52"/>
    <w:rsid w:val="00EE358E"/>
    <w:rsid w:val="00EF1141"/>
    <w:rsid w:val="00EF6287"/>
    <w:rsid w:val="00F30FAD"/>
    <w:rsid w:val="00F62435"/>
    <w:rsid w:val="00F80FD4"/>
    <w:rsid w:val="00F83C73"/>
    <w:rsid w:val="00F94A65"/>
    <w:rsid w:val="00FB7E23"/>
    <w:rsid w:val="00FD7D6E"/>
    <w:rsid w:val="00FE46A3"/>
    <w:rsid w:val="00FF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44"/>
    <w:rPr>
      <w:rFonts w:ascii="Tahoma" w:hAnsi="Tahoma" w:cs="Tahoma"/>
      <w:sz w:val="16"/>
      <w:szCs w:val="16"/>
    </w:rPr>
  </w:style>
  <w:style w:type="character" w:customStyle="1" w:styleId="CharStyle3">
    <w:name w:val="CharStyle3"/>
    <w:rsid w:val="00FF1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paragraph" w:styleId="a5">
    <w:name w:val="Body Text Indent"/>
    <w:aliases w:val=" Знак"/>
    <w:basedOn w:val="a"/>
    <w:link w:val="a6"/>
    <w:rsid w:val="007F1D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7F1D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30F0F"/>
    <w:rPr>
      <w:color w:val="0000FF"/>
      <w:u w:val="single"/>
    </w:rPr>
  </w:style>
  <w:style w:type="table" w:styleId="a8">
    <w:name w:val="Table Grid"/>
    <w:basedOn w:val="a1"/>
    <w:uiPriority w:val="59"/>
    <w:rsid w:val="0024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1347"/>
    <w:pPr>
      <w:ind w:left="720"/>
      <w:contextualSpacing/>
    </w:pPr>
  </w:style>
  <w:style w:type="paragraph" w:customStyle="1" w:styleId="ConsPlusTitle">
    <w:name w:val="ConsPlusTitle"/>
    <w:uiPriority w:val="99"/>
    <w:rsid w:val="0021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EE3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44"/>
    <w:rPr>
      <w:rFonts w:ascii="Tahoma" w:hAnsi="Tahoma" w:cs="Tahoma"/>
      <w:sz w:val="16"/>
      <w:szCs w:val="16"/>
    </w:rPr>
  </w:style>
  <w:style w:type="character" w:customStyle="1" w:styleId="CharStyle3">
    <w:name w:val="CharStyle3"/>
    <w:rsid w:val="00FF1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paragraph" w:styleId="a5">
    <w:name w:val="Body Text Indent"/>
    <w:aliases w:val=" Знак"/>
    <w:basedOn w:val="a"/>
    <w:link w:val="a6"/>
    <w:rsid w:val="007F1D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7F1D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30F0F"/>
    <w:rPr>
      <w:color w:val="0000FF"/>
      <w:u w:val="single"/>
    </w:rPr>
  </w:style>
  <w:style w:type="table" w:styleId="a8">
    <w:name w:val="Table Grid"/>
    <w:basedOn w:val="a1"/>
    <w:uiPriority w:val="59"/>
    <w:rsid w:val="0024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1347"/>
    <w:pPr>
      <w:ind w:left="720"/>
      <w:contextualSpacing/>
    </w:pPr>
  </w:style>
  <w:style w:type="paragraph" w:customStyle="1" w:styleId="ConsPlusTitle">
    <w:name w:val="ConsPlusTitle"/>
    <w:uiPriority w:val="99"/>
    <w:rsid w:val="0021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EE3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362E-363E-4478-A30E-DADD6338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12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vas</cp:lastModifiedBy>
  <cp:revision>72</cp:revision>
  <cp:lastPrinted>2025-11-10T10:55:00Z</cp:lastPrinted>
  <dcterms:created xsi:type="dcterms:W3CDTF">2023-11-17T03:53:00Z</dcterms:created>
  <dcterms:modified xsi:type="dcterms:W3CDTF">2025-11-10T11:04:00Z</dcterms:modified>
</cp:coreProperties>
</file>