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3A6D44">
        <w:rPr>
          <w:rFonts w:ascii="Times New Roman" w:hAnsi="Times New Roman" w:cs="Times New Roman"/>
          <w:sz w:val="28"/>
          <w:szCs w:val="28"/>
        </w:rPr>
        <w:t>округа</w:t>
      </w:r>
      <w:r w:rsidRPr="00E72D97">
        <w:rPr>
          <w:rFonts w:ascii="Times New Roman" w:hAnsi="Times New Roman" w:cs="Times New Roman"/>
          <w:sz w:val="28"/>
          <w:szCs w:val="28"/>
        </w:rPr>
        <w:t xml:space="preserve">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3A3D">
        <w:rPr>
          <w:rFonts w:ascii="Times New Roman" w:hAnsi="Times New Roman" w:cs="Times New Roman"/>
          <w:sz w:val="28"/>
          <w:szCs w:val="28"/>
        </w:rPr>
        <w:t>о</w:t>
      </w:r>
      <w:r w:rsidR="00F45F6B">
        <w:rPr>
          <w:rFonts w:ascii="Times New Roman" w:hAnsi="Times New Roman" w:cs="Times New Roman"/>
          <w:sz w:val="28"/>
          <w:szCs w:val="28"/>
        </w:rPr>
        <w:t>т</w:t>
      </w:r>
      <w:r w:rsidR="00B73A3D" w:rsidRPr="00031AF5">
        <w:rPr>
          <w:rFonts w:ascii="Times New Roman" w:hAnsi="Times New Roman" w:cs="Times New Roman"/>
          <w:sz w:val="28"/>
          <w:szCs w:val="28"/>
        </w:rPr>
        <w:t xml:space="preserve"> </w:t>
      </w:r>
      <w:r w:rsidR="00A9483C" w:rsidRPr="00A9483C">
        <w:rPr>
          <w:rFonts w:ascii="Times New Roman" w:hAnsi="Times New Roman" w:cs="Times New Roman"/>
          <w:sz w:val="28"/>
          <w:szCs w:val="28"/>
        </w:rPr>
        <w:t>21</w:t>
      </w:r>
      <w:r w:rsidR="003075E7">
        <w:rPr>
          <w:rFonts w:ascii="Times New Roman" w:hAnsi="Times New Roman" w:cs="Times New Roman"/>
          <w:sz w:val="28"/>
          <w:szCs w:val="28"/>
        </w:rPr>
        <w:t xml:space="preserve"> </w:t>
      </w:r>
      <w:r w:rsidR="00E32D9B">
        <w:rPr>
          <w:rFonts w:ascii="Times New Roman" w:hAnsi="Times New Roman" w:cs="Times New Roman"/>
          <w:sz w:val="28"/>
          <w:szCs w:val="28"/>
        </w:rPr>
        <w:t xml:space="preserve">апреля </w:t>
      </w:r>
      <w:r w:rsidR="00F45F6B" w:rsidRPr="00F45F6B">
        <w:rPr>
          <w:rFonts w:ascii="Times New Roman" w:hAnsi="Times New Roman" w:cs="Times New Roman"/>
          <w:sz w:val="28"/>
          <w:szCs w:val="28"/>
        </w:rPr>
        <w:t>202</w:t>
      </w:r>
      <w:r w:rsidR="003A6D44">
        <w:rPr>
          <w:rFonts w:ascii="Times New Roman" w:hAnsi="Times New Roman" w:cs="Times New Roman"/>
          <w:sz w:val="28"/>
          <w:szCs w:val="28"/>
        </w:rPr>
        <w:t>6</w:t>
      </w:r>
      <w:r w:rsidR="00CA4EB0">
        <w:rPr>
          <w:rFonts w:ascii="Times New Roman" w:hAnsi="Times New Roman" w:cs="Times New Roman"/>
          <w:sz w:val="28"/>
          <w:szCs w:val="28"/>
        </w:rPr>
        <w:t xml:space="preserve"> года</w:t>
      </w:r>
      <w:bookmarkStart w:id="0" w:name="_GoBack"/>
      <w:bookmarkEnd w:id="0"/>
      <w:r w:rsidR="00CA4EB0">
        <w:rPr>
          <w:rFonts w:ascii="Times New Roman" w:hAnsi="Times New Roman" w:cs="Times New Roman"/>
          <w:sz w:val="28"/>
          <w:szCs w:val="28"/>
        </w:rPr>
        <w:t xml:space="preserve"> №</w:t>
      </w:r>
      <w:r w:rsidR="00A9483C" w:rsidRPr="00A9483C">
        <w:rPr>
          <w:rFonts w:ascii="Times New Roman" w:hAnsi="Times New Roman" w:cs="Times New Roman"/>
          <w:sz w:val="28"/>
          <w:szCs w:val="28"/>
        </w:rPr>
        <w:t>142</w:t>
      </w:r>
      <w:r w:rsidR="00F45F6B" w:rsidRPr="00F45F6B">
        <w:rPr>
          <w:rFonts w:ascii="Times New Roman" w:hAnsi="Times New Roman" w:cs="Times New Roman"/>
          <w:sz w:val="28"/>
          <w:szCs w:val="28"/>
        </w:rPr>
        <w:t>-рр</w:t>
      </w:r>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w:t>
      </w:r>
      <w:r w:rsidR="003A6D44">
        <w:rPr>
          <w:rFonts w:ascii="Times New Roman" w:eastAsia="Times New Roman" w:hAnsi="Times New Roman" w:cs="Times New Roman"/>
          <w:sz w:val="28"/>
          <w:szCs w:val="28"/>
        </w:rPr>
        <w:t>округа</w:t>
      </w:r>
      <w:r w:rsidRPr="00B31D85">
        <w:rPr>
          <w:rFonts w:ascii="Times New Roman" w:eastAsia="Times New Roman" w:hAnsi="Times New Roman" w:cs="Times New Roman"/>
          <w:sz w:val="28"/>
          <w:szCs w:val="28"/>
        </w:rPr>
        <w:t xml:space="preserve"> </w:t>
      </w:r>
    </w:p>
    <w:p w:rsidR="00B31D85" w:rsidRPr="00B31D85" w:rsidRDefault="003A6D44"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3A6D44">
        <w:rPr>
          <w:rFonts w:ascii="Times New Roman" w:eastAsia="Times New Roman" w:hAnsi="Times New Roman" w:cs="Times New Roman"/>
          <w:sz w:val="28"/>
          <w:szCs w:val="28"/>
        </w:rPr>
        <w:t>от 25 декабря 2025 года № 92-рр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Утвердить прогнозируемые доходы бюджета </w:t>
      </w: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муниципального образования «Таштагольский муниципальный округ» </w:t>
      </w:r>
    </w:p>
    <w:p w:rsidR="00B72DF4" w:rsidRPr="00101D97"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на 2026 год и на плановый период 2027 и 2028 годов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800" w:type="dxa"/>
        <w:tblInd w:w="93" w:type="dxa"/>
        <w:tblLook w:val="04A0" w:firstRow="1" w:lastRow="0" w:firstColumn="1" w:lastColumn="0" w:noHBand="0" w:noVBand="1"/>
      </w:tblPr>
      <w:tblGrid>
        <w:gridCol w:w="2616"/>
        <w:gridCol w:w="3744"/>
        <w:gridCol w:w="1526"/>
        <w:gridCol w:w="1526"/>
        <w:gridCol w:w="1526"/>
      </w:tblGrid>
      <w:tr w:rsidR="003623EC" w:rsidRPr="003623EC" w:rsidTr="003623EC">
        <w:trPr>
          <w:trHeight w:val="276"/>
        </w:trPr>
        <w:tc>
          <w:tcPr>
            <w:tcW w:w="2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Код БК</w:t>
            </w:r>
          </w:p>
        </w:tc>
        <w:tc>
          <w:tcPr>
            <w:tcW w:w="3744" w:type="dxa"/>
            <w:tcBorders>
              <w:top w:val="single" w:sz="4" w:space="0" w:color="auto"/>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Наименование</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2026 год</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2027 год</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2028 год</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w:t>
            </w:r>
          </w:p>
        </w:tc>
        <w:tc>
          <w:tcPr>
            <w:tcW w:w="3744" w:type="dxa"/>
            <w:tcBorders>
              <w:top w:val="nil"/>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w:t>
            </w:r>
          </w:p>
        </w:tc>
        <w:tc>
          <w:tcPr>
            <w:tcW w:w="1526" w:type="dxa"/>
            <w:tcBorders>
              <w:top w:val="nil"/>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w:t>
            </w:r>
          </w:p>
        </w:tc>
        <w:tc>
          <w:tcPr>
            <w:tcW w:w="1526" w:type="dxa"/>
            <w:tcBorders>
              <w:top w:val="nil"/>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w:t>
            </w:r>
          </w:p>
        </w:tc>
        <w:tc>
          <w:tcPr>
            <w:tcW w:w="1526" w:type="dxa"/>
            <w:tcBorders>
              <w:top w:val="nil"/>
              <w:left w:val="nil"/>
              <w:bottom w:val="single" w:sz="4" w:space="0" w:color="auto"/>
              <w:right w:val="single" w:sz="4" w:space="0" w:color="auto"/>
            </w:tcBorders>
            <w:shd w:val="clear" w:color="000000" w:fill="FFFFFF"/>
            <w:vAlign w:val="center"/>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5</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00010000000000000000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НАЛОГОВЫЕ И НЕНАЛОГОВЫЕ ДОХОДЫ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1 250 143,2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1 258 600,0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1 298 000,0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00010100000000000000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НАЛОГИ НА ПРИБЫЛЬ, ДОХОДЫ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687 789,0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697 148,0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705 020,0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00010102000010000110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 на доходы физических лиц</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687 789,0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697 148,0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705 020,0</w:t>
            </w:r>
          </w:p>
        </w:tc>
      </w:tr>
      <w:tr w:rsidR="003623EC" w:rsidRPr="003623EC" w:rsidTr="003623EC">
        <w:trPr>
          <w:trHeight w:val="225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00010102010010000110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3623EC">
              <w:rPr>
                <w:rFonts w:ascii="Times New Roman" w:eastAsia="Times New Roman" w:hAnsi="Times New Roman" w:cs="Times New Roman"/>
                <w:color w:val="000000"/>
                <w:sz w:val="24"/>
                <w:szCs w:val="24"/>
                <w:lang w:eastAsia="ru-RU"/>
              </w:rPr>
              <w:t xml:space="preserve"> </w:t>
            </w:r>
            <w:proofErr w:type="gramStart"/>
            <w:r w:rsidRPr="003623EC">
              <w:rPr>
                <w:rFonts w:ascii="Times New Roman" w:eastAsia="Times New Roman" w:hAnsi="Times New Roman" w:cs="Times New Roman"/>
                <w:color w:val="000000"/>
                <w:sz w:val="24"/>
                <w:szCs w:val="24"/>
                <w:lang w:eastAsia="ru-RU"/>
              </w:rPr>
              <w:t xml:space="preserve">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w:t>
            </w:r>
            <w:r w:rsidRPr="003623EC">
              <w:rPr>
                <w:rFonts w:ascii="Times New Roman" w:eastAsia="Times New Roman" w:hAnsi="Times New Roman" w:cs="Times New Roman"/>
                <w:color w:val="000000"/>
                <w:sz w:val="24"/>
                <w:szCs w:val="24"/>
                <w:lang w:eastAsia="ru-RU"/>
              </w:rPr>
              <w:lastRenderedPageBreak/>
              <w:t>Федерации), а также налог на доходы физических лиц в отношении доходов от долевого участия в организации, полученных</w:t>
            </w:r>
            <w:proofErr w:type="gramEnd"/>
            <w:r w:rsidRPr="003623EC">
              <w:rPr>
                <w:rFonts w:ascii="Times New Roman" w:eastAsia="Times New Roman" w:hAnsi="Times New Roman" w:cs="Times New Roman"/>
                <w:color w:val="000000"/>
                <w:sz w:val="24"/>
                <w:szCs w:val="24"/>
                <w:lang w:eastAsia="ru-RU"/>
              </w:rPr>
              <w:t xml:space="preserve"> физическим лицом, не являющимся налоговым резидентом Российской Федерации, в виде дивидендов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578 184,0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580 743,0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581 915,0</w:t>
            </w:r>
          </w:p>
        </w:tc>
      </w:tr>
      <w:tr w:rsidR="003623EC" w:rsidRPr="003623EC" w:rsidTr="003623EC">
        <w:trPr>
          <w:trHeight w:val="316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00010102020010000110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623EC">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1 450,0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1 550,0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1 650,0</w:t>
            </w:r>
          </w:p>
        </w:tc>
      </w:tr>
      <w:tr w:rsidR="003623EC" w:rsidRPr="003623EC" w:rsidTr="003623EC">
        <w:trPr>
          <w:trHeight w:val="290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00010102021010000110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3623EC">
              <w:rPr>
                <w:rFonts w:ascii="Times New Roman" w:eastAsia="Times New Roman" w:hAnsi="Times New Roman" w:cs="Times New Roman"/>
                <w:color w:val="000000"/>
                <w:sz w:val="24"/>
                <w:szCs w:val="24"/>
                <w:lang w:eastAsia="ru-RU"/>
              </w:rPr>
              <w:t xml:space="preserve"> не более 5 миллионов рублей)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255,0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255,0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255,0</w:t>
            </w:r>
          </w:p>
        </w:tc>
      </w:tr>
      <w:tr w:rsidR="003623EC" w:rsidRPr="003623EC" w:rsidTr="003623EC">
        <w:trPr>
          <w:trHeight w:val="290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00010102022010000110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3623EC">
              <w:rPr>
                <w:rFonts w:ascii="Times New Roman" w:eastAsia="Times New Roman" w:hAnsi="Times New Roman" w:cs="Times New Roman"/>
                <w:color w:val="000000"/>
                <w:sz w:val="24"/>
                <w:szCs w:val="24"/>
                <w:lang w:eastAsia="ru-RU"/>
              </w:rPr>
              <w:t xml:space="preserve"> не более 20 миллионов рублей)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100,0</w:t>
            </w:r>
          </w:p>
        </w:tc>
      </w:tr>
      <w:tr w:rsidR="003623EC" w:rsidRPr="003623EC" w:rsidTr="003623EC">
        <w:trPr>
          <w:trHeight w:val="264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00010102030010000110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623EC">
              <w:rPr>
                <w:rFonts w:ascii="Times New Roman" w:eastAsia="Times New Roman" w:hAnsi="Times New Roman" w:cs="Times New Roman"/>
                <w:color w:val="000000"/>
                <w:sz w:val="24"/>
                <w:szCs w:val="24"/>
                <w:lang w:eastAsia="ru-RU"/>
              </w:rPr>
              <w:t xml:space="preserve">, не </w:t>
            </w:r>
            <w:proofErr w:type="gramStart"/>
            <w:r w:rsidRPr="003623EC">
              <w:rPr>
                <w:rFonts w:ascii="Times New Roman" w:eastAsia="Times New Roman" w:hAnsi="Times New Roman" w:cs="Times New Roman"/>
                <w:color w:val="000000"/>
                <w:sz w:val="24"/>
                <w:szCs w:val="24"/>
                <w:lang w:eastAsia="ru-RU"/>
              </w:rPr>
              <w:t>превышающей</w:t>
            </w:r>
            <w:proofErr w:type="gramEnd"/>
            <w:r w:rsidRPr="003623EC">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11 050,0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11 550,0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12 050,0</w:t>
            </w:r>
          </w:p>
        </w:tc>
      </w:tr>
      <w:tr w:rsidR="003623EC" w:rsidRPr="003623EC" w:rsidTr="003623EC">
        <w:trPr>
          <w:trHeight w:val="158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00010102040010000110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3 500,0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4 500,0</w:t>
            </w:r>
          </w:p>
        </w:tc>
      </w:tr>
      <w:tr w:rsidR="003623EC" w:rsidRPr="003623EC" w:rsidTr="003623EC">
        <w:trPr>
          <w:trHeight w:val="2831"/>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00010102080010000110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3623EC">
              <w:rPr>
                <w:rFonts w:ascii="Times New Roman" w:eastAsia="Times New Roman" w:hAnsi="Times New Roman" w:cs="Times New Roman"/>
                <w:color w:val="000000"/>
                <w:sz w:val="24"/>
                <w:szCs w:val="24"/>
                <w:lang w:eastAsia="ru-RU"/>
              </w:rPr>
              <w:t xml:space="preserve"> </w:t>
            </w:r>
            <w:proofErr w:type="gramStart"/>
            <w:r w:rsidRPr="003623EC">
              <w:rPr>
                <w:rFonts w:ascii="Times New Roman" w:eastAsia="Times New Roman" w:hAnsi="Times New Roman" w:cs="Times New Roman"/>
                <w:color w:val="000000"/>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3623EC">
              <w:rPr>
                <w:rFonts w:ascii="Times New Roman" w:eastAsia="Times New Roman" w:hAnsi="Times New Roman" w:cs="Times New Roman"/>
                <w:color w:val="000000"/>
                <w:sz w:val="24"/>
                <w:szCs w:val="24"/>
                <w:lang w:eastAsia="ru-RU"/>
              </w:rPr>
              <w:t xml:space="preserve"> </w:t>
            </w:r>
            <w:proofErr w:type="gramStart"/>
            <w:r w:rsidRPr="003623EC">
              <w:rPr>
                <w:rFonts w:ascii="Times New Roman" w:eastAsia="Times New Roman" w:hAnsi="Times New Roman" w:cs="Times New Roman"/>
                <w:color w:val="000000"/>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3623EC">
              <w:rPr>
                <w:rFonts w:ascii="Times New Roman" w:eastAsia="Times New Roman" w:hAnsi="Times New Roman" w:cs="Times New Roman"/>
                <w:color w:val="000000"/>
                <w:sz w:val="24"/>
                <w:szCs w:val="24"/>
                <w:lang w:eastAsia="ru-RU"/>
              </w:rPr>
              <w:t xml:space="preserve"> </w:t>
            </w:r>
            <w:proofErr w:type="gramStart"/>
            <w:r w:rsidRPr="003623EC">
              <w:rPr>
                <w:rFonts w:ascii="Times New Roman" w:eastAsia="Times New Roman" w:hAnsi="Times New Roman" w:cs="Times New Roman"/>
                <w:color w:val="000000"/>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3623EC">
              <w:rPr>
                <w:rFonts w:ascii="Times New Roman" w:eastAsia="Times New Roman" w:hAnsi="Times New Roman" w:cs="Times New Roman"/>
                <w:color w:val="000000"/>
                <w:sz w:val="24"/>
                <w:szCs w:val="24"/>
                <w:lang w:eastAsia="ru-RU"/>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9 000,0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9 500,0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10 000,0</w:t>
            </w:r>
          </w:p>
        </w:tc>
      </w:tr>
      <w:tr w:rsidR="003623EC" w:rsidRPr="003623EC" w:rsidTr="003623EC">
        <w:trPr>
          <w:trHeight w:val="211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00010102130010000110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4 000,0</w:t>
            </w:r>
          </w:p>
        </w:tc>
      </w:tr>
      <w:tr w:rsidR="003623EC" w:rsidRPr="003623EC" w:rsidTr="003623EC">
        <w:trPr>
          <w:trHeight w:val="211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00010102140010000110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9 000,0</w:t>
            </w:r>
          </w:p>
        </w:tc>
      </w:tr>
      <w:tr w:rsidR="003623EC" w:rsidRPr="003623EC" w:rsidTr="003623EC">
        <w:trPr>
          <w:trHeight w:val="580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00010102150010000110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3623EC">
              <w:rPr>
                <w:rFonts w:ascii="Times New Roman" w:eastAsia="Times New Roman" w:hAnsi="Times New Roman" w:cs="Times New Roman"/>
                <w:color w:val="000000"/>
                <w:sz w:val="24"/>
                <w:szCs w:val="24"/>
                <w:lang w:eastAsia="ru-RU"/>
              </w:rPr>
              <w:t xml:space="preserve"> </w:t>
            </w:r>
            <w:proofErr w:type="gramStart"/>
            <w:r w:rsidRPr="003623EC">
              <w:rPr>
                <w:rFonts w:ascii="Times New Roman" w:eastAsia="Times New Roman" w:hAnsi="Times New Roman" w:cs="Times New Roman"/>
                <w:color w:val="000000"/>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3623EC">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1 200,0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1 400,0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1 500,0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00010102210010000110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75 000,0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80 000,0</w:t>
            </w:r>
          </w:p>
        </w:tc>
      </w:tr>
      <w:tr w:rsidR="003623EC" w:rsidRPr="003623EC" w:rsidTr="003623EC">
        <w:trPr>
          <w:trHeight w:val="84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00010102230010000110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w:t>
            </w:r>
            <w:r w:rsidRPr="003623EC">
              <w:rPr>
                <w:rFonts w:ascii="Times New Roman" w:eastAsia="Times New Roman" w:hAnsi="Times New Roman" w:cs="Times New Roman"/>
                <w:color w:val="000000"/>
                <w:sz w:val="24"/>
                <w:szCs w:val="24"/>
                <w:lang w:eastAsia="ru-RU"/>
              </w:rPr>
              <w:lastRenderedPageBreak/>
              <w:t>Налогового кодекса Российской Федерации, превышающей 5 миллионов рублей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00010300000000000000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НАЛОГИ НА ТОВАРЫ (РАБОТЫ, УСЛУГИ), РЕАЛИЗУЕМЫЕ НА ТЕРРИТОРИИ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111 353,0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131 954,0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151 064,0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00010302000010000110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Акцизы по подакцизным товарам (продукции), производимым на территории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80 025,0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80 859,0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77 512,0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00010302230010000110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41 874,6</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42 258,4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40 445,3</w:t>
            </w:r>
          </w:p>
        </w:tc>
      </w:tr>
      <w:tr w:rsidR="003623EC" w:rsidRPr="003623EC" w:rsidTr="003623EC">
        <w:trPr>
          <w:trHeight w:val="158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00010302240010000110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204,5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206,0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197,0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00010302250010000110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40 504,3</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40 872,9</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39 148,4</w:t>
            </w:r>
          </w:p>
        </w:tc>
      </w:tr>
      <w:tr w:rsidR="003623EC" w:rsidRPr="003623EC" w:rsidTr="003623EC">
        <w:trPr>
          <w:trHeight w:val="563"/>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00010302260010000110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3623EC">
              <w:rPr>
                <w:rFonts w:ascii="Times New Roman" w:eastAsia="Times New Roman" w:hAnsi="Times New Roman" w:cs="Times New Roman"/>
                <w:color w:val="000000"/>
                <w:sz w:val="24"/>
                <w:szCs w:val="24"/>
                <w:lang w:eastAsia="ru-RU"/>
              </w:rPr>
              <w:lastRenderedPageBreak/>
              <w:t>нормативов отчислений в местные бюджеты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-2 558,4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-2 478,3</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-2 278,7</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00010303000010000110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Туристический налог</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31 328,0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51 095,0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73 552,0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00010303000011000110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Туристический налог (сумма платежа (перерасчеты, недоимка и задолженность по соответствующему платежу, в том числе по отмененному)</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31 328,0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51 095,0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73 552,0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00010500000000000000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НАЛОГИ НА СОВОКУПНЫЙ ДОХОД</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119 392,0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129 023,0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138 926,0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00010501000000000110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 взимаемый в связи с применением упрощенной системы налогообложения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105 592,0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114 323,0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123 226,0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00010501010010000110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80 530,0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87 201,0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94 000,0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00010501020010000110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25 062,0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27 122,0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29 226,0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00010504000020000110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 взимаемый в связи с применением патентной системы налогообложения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13 800,0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15 700,0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00010504060020000110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13 800,0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15 700,0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00010600000000000000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НАЛОГИ НА ИМУЩЕСТВО</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141 840,0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142 315,0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142 890,0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00010601000000000110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Налог на имущество физических лиц</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9 850,0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10 075,0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10 300,0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00010601020140000110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9 850,0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10 075,0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10 300,0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00010604000020000110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Транспортный налог</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2 490,0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2 540,0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2 590,0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00010604011020000110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Транспортный налог с организаций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399,0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408,0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419,0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00010604012020000110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Транспортный налог с физических лиц</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2 091,0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2 132,0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2 171,0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00010606000000000110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Земельный налог</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129 500,0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129 700,0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130 000,0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00010606030000000110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Земельный налог с организаций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121 448,0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121 452,0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121 688,0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00010606040000000110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Земельный налог с физических лиц</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8 052,0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8 248,0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8 312,0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00010800000000000000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ГОСУДАРСТВЕННАЯ ПОШЛИНА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21 700,0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22 400,0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00010803000010000110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Государственная пошлина по делам, рассматриваемым в судах общей юрисдикции, мировыми судьями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21 700,0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22 400,0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00010803010010000110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21 700,0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22 000,0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22 400,0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00011100000000000000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108 801,0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90 253,0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91 191,0</w:t>
            </w:r>
          </w:p>
        </w:tc>
      </w:tr>
      <w:tr w:rsidR="003623EC" w:rsidRPr="003623EC" w:rsidTr="003623EC">
        <w:trPr>
          <w:trHeight w:val="184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00011105000000000120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107 631,0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89 073,0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90 001,0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00011105010000000120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60 642,0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61 370,0</w:t>
            </w:r>
          </w:p>
        </w:tc>
      </w:tr>
      <w:tr w:rsidR="003623EC" w:rsidRPr="003623EC" w:rsidTr="003623EC">
        <w:trPr>
          <w:trHeight w:val="158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00011105020000000120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37 200,0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17 900,0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18 000,0</w:t>
            </w:r>
          </w:p>
        </w:tc>
      </w:tr>
      <w:tr w:rsidR="003623EC" w:rsidRPr="003623EC" w:rsidTr="003623EC">
        <w:trPr>
          <w:trHeight w:val="279"/>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00011105070000000120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 xml:space="preserve">Доходы от сдачи в аренду имущества, составляющего государственную (муниципальную) казну (за исключением земельных </w:t>
            </w:r>
            <w:r w:rsidRPr="003623EC">
              <w:rPr>
                <w:rFonts w:ascii="Times New Roman" w:eastAsia="Times New Roman" w:hAnsi="Times New Roman" w:cs="Times New Roman"/>
                <w:color w:val="000000"/>
                <w:sz w:val="24"/>
                <w:szCs w:val="24"/>
                <w:lang w:eastAsia="ru-RU"/>
              </w:rPr>
              <w:lastRenderedPageBreak/>
              <w:t>участков)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10 431,0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10 531,0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10 631,0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00011105300000000120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1 170,0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1 180,0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1 190,0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00011105310000000120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1 170,0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1 180,0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1 190,0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00011300000000000000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ОКАЗАНИЯ ПЛАТНЫХ УСЛУГ И КОМПЕНСАЦИИ ЗАТРАТ ГОСУДАРСТВА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24 972,0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26 117,0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27 249,0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00011301000000000130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оказания платных услуг (работ)</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14 496,0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14 593,0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14 572,0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00011301990000000130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14 496,0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14 593,0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14 572,0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00011302000000000130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компенсации затрат государства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10 476,0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11 524,0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12 677,0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00011302990000000130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10 476,0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11 524,0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12 677,0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00011400000000000000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18 673,0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15 910,0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15 300,0</w:t>
            </w:r>
          </w:p>
        </w:tc>
      </w:tr>
      <w:tr w:rsidR="003623EC" w:rsidRPr="003623EC" w:rsidTr="003623EC">
        <w:trPr>
          <w:trHeight w:val="158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00011402000000000000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4 025,0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4 063,0</w:t>
            </w:r>
          </w:p>
        </w:tc>
      </w:tr>
      <w:tr w:rsidR="003623EC" w:rsidRPr="003623EC" w:rsidTr="003623EC">
        <w:trPr>
          <w:trHeight w:val="184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00011402040140000410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4 025,0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4 063,0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00011406000000000430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14 218,0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11 425,0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10 772,0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00011406010000000430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5 368,0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5 425,0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5 472,0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00011406020000000430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8 850,0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5 300,0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00011406300000000430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455,0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460,0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465,0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00011406320000000430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455,0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460,0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465,0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00011600000000000000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ШТРАФЫ, САНКЦИИ, ВОЗМЕЩЕНИЕ УЩЕРБА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12 380,0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2 250,0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2 300,0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00011601000010000140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229,0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232,0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225,0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00011601050010000140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18,0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00011601060010000140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00011601070010000140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00011601100010000140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00011601130010000140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00011601140010000140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16,0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16,0</w:t>
            </w:r>
          </w:p>
        </w:tc>
      </w:tr>
      <w:tr w:rsidR="003623EC" w:rsidRPr="003623EC" w:rsidTr="003623EC">
        <w:trPr>
          <w:trHeight w:val="1584"/>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00011601150010000140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sidRPr="003623EC">
              <w:rPr>
                <w:rFonts w:ascii="Times New Roman" w:eastAsia="Times New Roman" w:hAnsi="Times New Roman" w:cs="Times New Roman"/>
                <w:color w:val="000000"/>
                <w:sz w:val="24"/>
                <w:szCs w:val="24"/>
                <w:lang w:eastAsia="ru-RU"/>
              </w:rPr>
              <w:lastRenderedPageBreak/>
              <w:t>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17,0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00011601170010000140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50,0</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00011601190010000140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10,0</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00011601200010000140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82,0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00011611000010000140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Платежи, уплачиваемые в целях возмещения вреда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12 151,0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2 018,0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2 075,0</w:t>
            </w:r>
          </w:p>
        </w:tc>
      </w:tr>
      <w:tr w:rsidR="003623EC" w:rsidRPr="003623EC" w:rsidTr="003623EC">
        <w:trPr>
          <w:trHeight w:val="1413"/>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00011611050010000140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w:t>
            </w:r>
            <w:r w:rsidRPr="003623EC">
              <w:rPr>
                <w:rFonts w:ascii="Times New Roman" w:eastAsia="Times New Roman" w:hAnsi="Times New Roman" w:cs="Times New Roman"/>
                <w:color w:val="000000"/>
                <w:sz w:val="24"/>
                <w:szCs w:val="24"/>
                <w:lang w:eastAsia="ru-RU"/>
              </w:rPr>
              <w:lastRenderedPageBreak/>
              <w:t>мира, не относящимся к</w:t>
            </w:r>
            <w:proofErr w:type="gramEnd"/>
            <w:r w:rsidRPr="003623EC">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11 700,0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1 700,0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00011611060010000140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Платежи, уплачиваемые в целях возмещения вреда, причиняемого автомобильным дорогам</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451,0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375,0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00011700000000000000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ПРОЧИЕ НЕНАЛОГОВЫЕ ДОХОДЫ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3 243,2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1 660,0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00011705000000000180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Прочие неналоговые доходы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1 660,0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00011705040140000180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неналоговые доходы бюджетов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1 660,0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00011715000000000150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Инициативные платежи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1 643,2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00011715020140000150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Инициативные платежи, зачисляемые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1 643,2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00020000000000000000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БЕЗВОЗМЕЗДНЫЕ ПОСТУПЛЕНИЯ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3 111 641,5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3 295 148,0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2 539 849,3</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00020200000000000000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2 984 295,4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3 285 568,0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2 530 269,3</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00020210000000000150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Дотации бюджетам бюджетной системы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586 930,0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426 422,0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360 322,0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00020215001000000150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436 930,0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426 422,0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360 322,0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00020215002000000150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150 000,0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00020220000000000150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993 723,0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1 429 243,2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741 795,9</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00020220041000000150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60 000,0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00020220077000000150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756 580,0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578 770,0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589 380,0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00020225154000000150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реализацию мероприятий по модернизации коммунальной инфраструктуры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64 906,5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00020225163000000150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создание системы долговременного ухода за гражданами пожилого возраста и инвалидами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13 761,7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15 053,6</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28 421,3</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00020225179000000150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4 865,2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5 843,9</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5 916,4</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00020225304000000150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34 243,0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32 374,0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30 563,9</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00020225349000000150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3 370,8</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00020225497000000150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реализацию мероприятий по обеспечению жильем молодых семей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3 954,7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00020225513000000150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развитие сети учреждений культурно-досугового типа</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11 162,1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17 284,2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00020225555000000150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Субсидии бюджетам на реализацию программ формирования современной городской среды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13 829,7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13 411,0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13 561,3</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00020229999000000150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субсидии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27 049,2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706 506,4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13 953,0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00020230000000000150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1 333 624,8</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1 360 235,2</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1 358 483,8</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00020230013000000150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45,0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45,0</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00020230024000000150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1 273 182,8</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1 297 272,7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1 297 272,7</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00020230027000000150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41 107,7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41 107,7</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41 107,7</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00020230029000000150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79,5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79,5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79,5</w:t>
            </w:r>
          </w:p>
        </w:tc>
      </w:tr>
      <w:tr w:rsidR="003623EC" w:rsidRPr="003623EC" w:rsidTr="003623EC">
        <w:trPr>
          <w:trHeight w:val="132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00020235082000000150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13 568,4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14 820,9</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14 820,9</w:t>
            </w:r>
          </w:p>
        </w:tc>
      </w:tr>
      <w:tr w:rsidR="003623EC" w:rsidRPr="003623EC" w:rsidTr="003623EC">
        <w:trPr>
          <w:trHeight w:val="79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00020235118000000150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3 627,4</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4 046,3</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5 151,8</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00020235120000000150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97,1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5,8</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6,2</w:t>
            </w:r>
          </w:p>
        </w:tc>
      </w:tr>
      <w:tr w:rsidR="003623EC" w:rsidRPr="003623EC" w:rsidTr="003623EC">
        <w:trPr>
          <w:trHeight w:val="105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00020235135000000150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1 916,9</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2 857,3</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00020240000000000150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Иные межбюджетные трансферты</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70 017,6</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69 667,6</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69 667,6</w:t>
            </w:r>
          </w:p>
        </w:tc>
      </w:tr>
      <w:tr w:rsidR="003623EC" w:rsidRPr="003623EC" w:rsidTr="003623EC">
        <w:trPr>
          <w:trHeight w:val="2640"/>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lastRenderedPageBreak/>
              <w:t>00020245050000000150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proofErr w:type="gramStart"/>
            <w:r w:rsidRPr="003623EC">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1 828,1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1 828,1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1 828,1</w:t>
            </w:r>
          </w:p>
        </w:tc>
      </w:tr>
      <w:tr w:rsidR="003623EC" w:rsidRPr="003623EC" w:rsidTr="003623EC">
        <w:trPr>
          <w:trHeight w:val="2112"/>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00020245303000000150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67 839,5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67 839,5</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67 839,5</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00020249999000000150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350,0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00020400000000000000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00020404000140000150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00020404099140000150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безвозмездные поступления от негосударственных организаций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10 000,0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00020700000000000000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ПРОЧИЕ БЕЗВОЗМЕЗДНЫЕ ПОСТУПЛЕНИЯ</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117 346,1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9 580,0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0"/>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9 580,0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lastRenderedPageBreak/>
              <w:t>00020704000140000150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Прочие безвозмездные поступления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117 346,1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9 580,0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1"/>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9 580,0</w:t>
            </w:r>
          </w:p>
        </w:tc>
      </w:tr>
      <w:tr w:rsidR="003623EC" w:rsidRPr="003623EC" w:rsidTr="003623EC">
        <w:trPr>
          <w:trHeight w:val="528"/>
        </w:trPr>
        <w:tc>
          <w:tcPr>
            <w:tcW w:w="2478" w:type="dxa"/>
            <w:tcBorders>
              <w:top w:val="nil"/>
              <w:left w:val="single" w:sz="4" w:space="0" w:color="auto"/>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center"/>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00020704050140000150</w:t>
            </w:r>
          </w:p>
        </w:tc>
        <w:tc>
          <w:tcPr>
            <w:tcW w:w="3744" w:type="dxa"/>
            <w:tcBorders>
              <w:top w:val="nil"/>
              <w:left w:val="nil"/>
              <w:bottom w:val="single" w:sz="4" w:space="0" w:color="auto"/>
              <w:right w:val="single" w:sz="4" w:space="0" w:color="auto"/>
            </w:tcBorders>
            <w:shd w:val="clear" w:color="000000" w:fill="FFFFFF"/>
            <w:hideMark/>
          </w:tcPr>
          <w:p w:rsidR="003623EC" w:rsidRPr="003623EC" w:rsidRDefault="003623EC" w:rsidP="003623EC">
            <w:pPr>
              <w:spacing w:after="0" w:line="240" w:lineRule="auto"/>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Прочие безвозмездные поступления в бюджеты муниципальных округов</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117 346,1</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9 580,0</w:t>
            </w:r>
          </w:p>
        </w:tc>
        <w:tc>
          <w:tcPr>
            <w:tcW w:w="1526" w:type="dxa"/>
            <w:tcBorders>
              <w:top w:val="nil"/>
              <w:left w:val="nil"/>
              <w:bottom w:val="single" w:sz="4" w:space="0" w:color="auto"/>
              <w:right w:val="single" w:sz="4" w:space="0" w:color="auto"/>
            </w:tcBorders>
            <w:shd w:val="clear" w:color="000000" w:fill="FFFFFF"/>
            <w:noWrap/>
            <w:hideMark/>
          </w:tcPr>
          <w:p w:rsidR="003623EC" w:rsidRPr="003623EC" w:rsidRDefault="003623EC" w:rsidP="003623EC">
            <w:pPr>
              <w:spacing w:after="0" w:line="240" w:lineRule="auto"/>
              <w:jc w:val="right"/>
              <w:outlineLvl w:val="2"/>
              <w:rPr>
                <w:rFonts w:ascii="Times New Roman" w:eastAsia="Times New Roman" w:hAnsi="Times New Roman" w:cs="Times New Roman"/>
                <w:color w:val="000000"/>
                <w:sz w:val="24"/>
                <w:szCs w:val="24"/>
                <w:lang w:eastAsia="ru-RU"/>
              </w:rPr>
            </w:pPr>
            <w:r w:rsidRPr="003623EC">
              <w:rPr>
                <w:rFonts w:ascii="Times New Roman" w:eastAsia="Times New Roman" w:hAnsi="Times New Roman" w:cs="Times New Roman"/>
                <w:color w:val="000000"/>
                <w:sz w:val="24"/>
                <w:szCs w:val="24"/>
                <w:lang w:eastAsia="ru-RU"/>
              </w:rPr>
              <w:t>9 580,0</w:t>
            </w:r>
          </w:p>
        </w:tc>
      </w:tr>
      <w:tr w:rsidR="003623EC" w:rsidRPr="003623EC" w:rsidTr="003623EC">
        <w:trPr>
          <w:trHeight w:val="276"/>
        </w:trPr>
        <w:tc>
          <w:tcPr>
            <w:tcW w:w="2478" w:type="dxa"/>
            <w:tcBorders>
              <w:top w:val="nil"/>
              <w:left w:val="single" w:sz="4" w:space="0" w:color="auto"/>
              <w:bottom w:val="single" w:sz="4" w:space="0" w:color="auto"/>
              <w:right w:val="single" w:sz="4" w:space="0" w:color="auto"/>
            </w:tcBorders>
            <w:shd w:val="clear" w:color="000000" w:fill="FFFFFF"/>
            <w:noWrap/>
            <w:vAlign w:val="bottom"/>
            <w:hideMark/>
          </w:tcPr>
          <w:p w:rsidR="003623EC" w:rsidRPr="003623EC" w:rsidRDefault="003623EC" w:rsidP="003623EC">
            <w:pPr>
              <w:spacing w:after="0" w:line="240" w:lineRule="auto"/>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Итого:</w:t>
            </w:r>
          </w:p>
        </w:tc>
        <w:tc>
          <w:tcPr>
            <w:tcW w:w="3744" w:type="dxa"/>
            <w:tcBorders>
              <w:top w:val="nil"/>
              <w:left w:val="nil"/>
              <w:bottom w:val="single" w:sz="4" w:space="0" w:color="auto"/>
              <w:right w:val="single" w:sz="4" w:space="0" w:color="auto"/>
            </w:tcBorders>
            <w:shd w:val="clear" w:color="000000" w:fill="FFFFFF"/>
            <w:noWrap/>
            <w:vAlign w:val="bottom"/>
            <w:hideMark/>
          </w:tcPr>
          <w:p w:rsidR="003623EC" w:rsidRPr="003623EC" w:rsidRDefault="003623EC" w:rsidP="003623EC">
            <w:pPr>
              <w:spacing w:after="0" w:line="240" w:lineRule="auto"/>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 </w:t>
            </w:r>
          </w:p>
        </w:tc>
        <w:tc>
          <w:tcPr>
            <w:tcW w:w="1526" w:type="dxa"/>
            <w:tcBorders>
              <w:top w:val="nil"/>
              <w:left w:val="nil"/>
              <w:bottom w:val="single" w:sz="4" w:space="0" w:color="auto"/>
              <w:right w:val="single" w:sz="4" w:space="0" w:color="auto"/>
            </w:tcBorders>
            <w:shd w:val="clear" w:color="000000" w:fill="FFFFFF"/>
            <w:noWrap/>
            <w:vAlign w:val="bottom"/>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4 361 784,7</w:t>
            </w:r>
          </w:p>
        </w:tc>
        <w:tc>
          <w:tcPr>
            <w:tcW w:w="1526" w:type="dxa"/>
            <w:tcBorders>
              <w:top w:val="nil"/>
              <w:left w:val="nil"/>
              <w:bottom w:val="single" w:sz="4" w:space="0" w:color="auto"/>
              <w:right w:val="single" w:sz="4" w:space="0" w:color="auto"/>
            </w:tcBorders>
            <w:shd w:val="clear" w:color="000000" w:fill="FFFFFF"/>
            <w:noWrap/>
            <w:vAlign w:val="bottom"/>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4 553 748,0</w:t>
            </w:r>
          </w:p>
        </w:tc>
        <w:tc>
          <w:tcPr>
            <w:tcW w:w="1526" w:type="dxa"/>
            <w:tcBorders>
              <w:top w:val="nil"/>
              <w:left w:val="nil"/>
              <w:bottom w:val="single" w:sz="4" w:space="0" w:color="auto"/>
              <w:right w:val="single" w:sz="4" w:space="0" w:color="auto"/>
            </w:tcBorders>
            <w:shd w:val="clear" w:color="000000" w:fill="FFFFFF"/>
            <w:noWrap/>
            <w:vAlign w:val="bottom"/>
            <w:hideMark/>
          </w:tcPr>
          <w:p w:rsidR="003623EC" w:rsidRPr="003623EC" w:rsidRDefault="003623EC" w:rsidP="003623EC">
            <w:pPr>
              <w:spacing w:after="0" w:line="240" w:lineRule="auto"/>
              <w:jc w:val="right"/>
              <w:rPr>
                <w:rFonts w:ascii="Times New Roman" w:eastAsia="Times New Roman" w:hAnsi="Times New Roman" w:cs="Times New Roman"/>
                <w:b/>
                <w:bCs/>
                <w:color w:val="000000"/>
                <w:sz w:val="24"/>
                <w:szCs w:val="24"/>
                <w:lang w:eastAsia="ru-RU"/>
              </w:rPr>
            </w:pPr>
            <w:r w:rsidRPr="003623EC">
              <w:rPr>
                <w:rFonts w:ascii="Times New Roman" w:eastAsia="Times New Roman" w:hAnsi="Times New Roman" w:cs="Times New Roman"/>
                <w:b/>
                <w:bCs/>
                <w:color w:val="000000"/>
                <w:sz w:val="24"/>
                <w:szCs w:val="24"/>
                <w:lang w:eastAsia="ru-RU"/>
              </w:rPr>
              <w:t>3 837 849,3</w:t>
            </w:r>
          </w:p>
        </w:tc>
      </w:tr>
    </w:tbl>
    <w:p w:rsidR="00FE2B6E" w:rsidRPr="00D802DF" w:rsidRDefault="00FE2B6E" w:rsidP="005E6C9B">
      <w:pPr>
        <w:spacing w:after="0" w:line="240" w:lineRule="auto"/>
        <w:ind w:right="-428"/>
        <w:jc w:val="center"/>
        <w:rPr>
          <w:rFonts w:ascii="Times New Roman" w:hAnsi="Times New Roman" w:cs="Times New Roman"/>
          <w:b/>
          <w:sz w:val="24"/>
          <w:szCs w:val="24"/>
          <w:lang w:eastAsia="ru-RU"/>
        </w:rPr>
      </w:pPr>
    </w:p>
    <w:sectPr w:rsidR="00FE2B6E" w:rsidRPr="00D802DF" w:rsidSect="00E34431">
      <w:footerReference w:type="default" r:id="rId7"/>
      <w:pgSz w:w="11906" w:h="16838"/>
      <w:pgMar w:top="568"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F57F85">
      <w:rPr>
        <w:noProof/>
      </w:rPr>
      <w:t>18</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0909"/>
    <w:rsid w:val="00276451"/>
    <w:rsid w:val="00277016"/>
    <w:rsid w:val="002B105D"/>
    <w:rsid w:val="002E0F5D"/>
    <w:rsid w:val="002E620E"/>
    <w:rsid w:val="00305CA9"/>
    <w:rsid w:val="003075E7"/>
    <w:rsid w:val="003428DB"/>
    <w:rsid w:val="00344630"/>
    <w:rsid w:val="00344CE4"/>
    <w:rsid w:val="0034632A"/>
    <w:rsid w:val="003578DD"/>
    <w:rsid w:val="0036116E"/>
    <w:rsid w:val="003623EC"/>
    <w:rsid w:val="00364CCC"/>
    <w:rsid w:val="0037281F"/>
    <w:rsid w:val="00373277"/>
    <w:rsid w:val="003763A3"/>
    <w:rsid w:val="00387B65"/>
    <w:rsid w:val="00396504"/>
    <w:rsid w:val="003A6D44"/>
    <w:rsid w:val="003B6687"/>
    <w:rsid w:val="003B69D7"/>
    <w:rsid w:val="003C04B2"/>
    <w:rsid w:val="003E76E3"/>
    <w:rsid w:val="00405544"/>
    <w:rsid w:val="004152CB"/>
    <w:rsid w:val="00430D89"/>
    <w:rsid w:val="00451B54"/>
    <w:rsid w:val="00480E54"/>
    <w:rsid w:val="004975D7"/>
    <w:rsid w:val="004B25B0"/>
    <w:rsid w:val="004B7C60"/>
    <w:rsid w:val="004C7C24"/>
    <w:rsid w:val="004D3492"/>
    <w:rsid w:val="004F4000"/>
    <w:rsid w:val="004F72E8"/>
    <w:rsid w:val="00525590"/>
    <w:rsid w:val="00527D5B"/>
    <w:rsid w:val="005372C8"/>
    <w:rsid w:val="00541764"/>
    <w:rsid w:val="00545889"/>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70D1B"/>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483C"/>
    <w:rsid w:val="00A97165"/>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32D9B"/>
    <w:rsid w:val="00E34431"/>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45F6B"/>
    <w:rsid w:val="00F57F85"/>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0894528">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411395118">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792022752">
      <w:bodyDiv w:val="1"/>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68979023">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352607735">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1138556">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18</Pages>
  <Words>3295</Words>
  <Characters>23201</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sovet</cp:lastModifiedBy>
  <cp:revision>69</cp:revision>
  <cp:lastPrinted>2026-05-05T04:43:00Z</cp:lastPrinted>
  <dcterms:created xsi:type="dcterms:W3CDTF">2020-09-09T04:16:00Z</dcterms:created>
  <dcterms:modified xsi:type="dcterms:W3CDTF">2026-05-05T04:44:00Z</dcterms:modified>
</cp:coreProperties>
</file>