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D3" w:rsidRDefault="00F1365B" w:rsidP="00E549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2793738</wp:posOffset>
            </wp:positionH>
            <wp:positionV relativeFrom="paragraph">
              <wp:posOffset>-93308</wp:posOffset>
            </wp:positionV>
            <wp:extent cx="809625" cy="993140"/>
            <wp:effectExtent l="19050" t="0" r="952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929" w:rsidRPr="00676A19" w:rsidRDefault="00E54929" w:rsidP="00E549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6A1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</w:p>
    <w:p w:rsidR="00E54929" w:rsidRDefault="00E54929" w:rsidP="00E54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03F" w:rsidRPr="007C0F6E" w:rsidRDefault="004450D1" w:rsidP="004450D1">
      <w:pPr>
        <w:pStyle w:val="1"/>
        <w:spacing w:before="0"/>
        <w:rPr>
          <w:rFonts w:ascii="Times New Roman" w:hAnsi="Times New Roman" w:cs="Times New Roman"/>
          <w:sz w:val="28"/>
          <w:szCs w:val="28"/>
        </w:rPr>
      </w:pPr>
      <w:r w:rsidRPr="007C0F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7603F" w:rsidRDefault="0067603F" w:rsidP="004450D1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7348" w:rsidRPr="004027DA" w:rsidRDefault="00A67348" w:rsidP="00A67348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027DA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940D3D">
        <w:rPr>
          <w:rFonts w:ascii="Times New Roman" w:hAnsi="Times New Roman" w:cs="Times New Roman"/>
          <w:sz w:val="28"/>
          <w:szCs w:val="28"/>
        </w:rPr>
        <w:t>-КУЗБАСС</w:t>
      </w:r>
    </w:p>
    <w:p w:rsidR="00A67348" w:rsidRPr="004027DA" w:rsidRDefault="00A67348" w:rsidP="00A67348">
      <w:pPr>
        <w:jc w:val="center"/>
        <w:rPr>
          <w:b/>
          <w:sz w:val="28"/>
          <w:szCs w:val="28"/>
        </w:rPr>
      </w:pPr>
      <w:r w:rsidRPr="00A664FA">
        <w:rPr>
          <w:b/>
          <w:sz w:val="28"/>
          <w:szCs w:val="28"/>
        </w:rPr>
        <w:t>ТАШТАГОЛЬСКИЙ МУНИЦИПАЛЬНЫЙ РАЙОН</w:t>
      </w:r>
    </w:p>
    <w:p w:rsidR="00A67348" w:rsidRDefault="00A67348" w:rsidP="00A67348">
      <w:pPr>
        <w:pStyle w:val="5"/>
        <w:rPr>
          <w:lang w:val="ru-RU"/>
        </w:rPr>
      </w:pPr>
      <w:r>
        <w:rPr>
          <w:lang w:val="ru-RU"/>
        </w:rPr>
        <w:t>АДМИНИСТРАЦИЯ</w:t>
      </w:r>
      <w:r w:rsidRPr="00676A19">
        <w:rPr>
          <w:lang w:val="ru-RU"/>
        </w:rPr>
        <w:t xml:space="preserve"> ТАШТАГОЛЬСКОГО </w:t>
      </w:r>
      <w:r>
        <w:rPr>
          <w:lang w:val="ru-RU"/>
        </w:rPr>
        <w:t xml:space="preserve">МУНИЦИПАЛЬНОГО </w:t>
      </w:r>
      <w:r w:rsidRPr="00676A19">
        <w:rPr>
          <w:lang w:val="ru-RU"/>
        </w:rPr>
        <w:t>РАЙОНА</w:t>
      </w:r>
    </w:p>
    <w:p w:rsidR="00AD5D9E" w:rsidRPr="00EA6C88" w:rsidRDefault="00AD5D9E" w:rsidP="005D6CE8">
      <w:pPr>
        <w:rPr>
          <w:b/>
          <w:sz w:val="20"/>
          <w:szCs w:val="20"/>
        </w:rPr>
      </w:pPr>
    </w:p>
    <w:p w:rsidR="00A125AD" w:rsidRPr="00656401" w:rsidRDefault="00A125AD" w:rsidP="00A125AD">
      <w:pPr>
        <w:pStyle w:val="4"/>
        <w:spacing w:before="360"/>
        <w:rPr>
          <w:bCs w:val="0"/>
          <w:spacing w:val="60"/>
          <w:sz w:val="28"/>
          <w:szCs w:val="28"/>
          <w:lang w:val="ru-RU"/>
        </w:rPr>
      </w:pPr>
      <w:r w:rsidRPr="00656401">
        <w:rPr>
          <w:bCs w:val="0"/>
          <w:spacing w:val="60"/>
          <w:sz w:val="28"/>
          <w:szCs w:val="28"/>
          <w:lang w:val="ru-RU"/>
        </w:rPr>
        <w:t>РАСПОРЯЖЕНИЕ</w:t>
      </w:r>
    </w:p>
    <w:p w:rsidR="00A125AD" w:rsidRDefault="00A125AD" w:rsidP="00A125AD">
      <w:pPr>
        <w:jc w:val="center"/>
        <w:rPr>
          <w:b/>
          <w:sz w:val="28"/>
          <w:szCs w:val="28"/>
        </w:rPr>
      </w:pPr>
    </w:p>
    <w:p w:rsidR="00A125AD" w:rsidRPr="00EC6DD9" w:rsidRDefault="00A125AD" w:rsidP="00A125AD">
      <w:pPr>
        <w:jc w:val="center"/>
        <w:rPr>
          <w:b/>
          <w:sz w:val="28"/>
          <w:szCs w:val="28"/>
        </w:rPr>
      </w:pPr>
    </w:p>
    <w:p w:rsidR="00A125AD" w:rsidRPr="00EC6DD9" w:rsidRDefault="00A125AD" w:rsidP="00A125AD">
      <w:pPr>
        <w:rPr>
          <w:b/>
          <w:sz w:val="28"/>
          <w:szCs w:val="28"/>
        </w:rPr>
      </w:pPr>
      <w:r w:rsidRPr="00EC6DD9">
        <w:rPr>
          <w:b/>
          <w:sz w:val="28"/>
          <w:szCs w:val="28"/>
        </w:rPr>
        <w:t>от  «</w:t>
      </w:r>
      <w:r w:rsidR="000B2A72" w:rsidRPr="000B2A72">
        <w:rPr>
          <w:b/>
          <w:sz w:val="28"/>
          <w:szCs w:val="28"/>
        </w:rPr>
        <w:t xml:space="preserve"> </w:t>
      </w:r>
      <w:r w:rsidR="00643516">
        <w:rPr>
          <w:b/>
          <w:sz w:val="28"/>
          <w:szCs w:val="28"/>
          <w:lang w:val="en-US"/>
        </w:rPr>
        <w:t>28</w:t>
      </w:r>
      <w:r w:rsidR="000B2A72" w:rsidRPr="000B2A72">
        <w:rPr>
          <w:b/>
          <w:sz w:val="28"/>
          <w:szCs w:val="28"/>
        </w:rPr>
        <w:t xml:space="preserve"> </w:t>
      </w:r>
      <w:r w:rsidRPr="00EC6DD9">
        <w:rPr>
          <w:b/>
          <w:sz w:val="28"/>
          <w:szCs w:val="28"/>
        </w:rPr>
        <w:t>»</w:t>
      </w:r>
      <w:r w:rsidR="001E7C51">
        <w:rPr>
          <w:b/>
          <w:sz w:val="28"/>
          <w:szCs w:val="28"/>
        </w:rPr>
        <w:t xml:space="preserve"> </w:t>
      </w:r>
      <w:r w:rsidR="000B2A72">
        <w:rPr>
          <w:b/>
          <w:sz w:val="28"/>
          <w:szCs w:val="28"/>
        </w:rPr>
        <w:t>октяб</w:t>
      </w:r>
      <w:r w:rsidR="00793ADE">
        <w:rPr>
          <w:b/>
          <w:sz w:val="28"/>
          <w:szCs w:val="28"/>
        </w:rPr>
        <w:t>ря</w:t>
      </w:r>
      <w:r w:rsidR="001E7C51">
        <w:rPr>
          <w:b/>
          <w:sz w:val="28"/>
          <w:szCs w:val="28"/>
        </w:rPr>
        <w:t xml:space="preserve"> 202</w:t>
      </w:r>
      <w:r w:rsidR="000B2A72">
        <w:rPr>
          <w:b/>
          <w:sz w:val="28"/>
          <w:szCs w:val="28"/>
        </w:rPr>
        <w:t>4</w:t>
      </w:r>
      <w:r w:rsidR="001E7C51">
        <w:rPr>
          <w:b/>
          <w:sz w:val="28"/>
          <w:szCs w:val="28"/>
        </w:rPr>
        <w:t xml:space="preserve"> </w:t>
      </w:r>
      <w:r w:rsidRPr="00EC6DD9">
        <w:rPr>
          <w:b/>
          <w:sz w:val="28"/>
          <w:szCs w:val="28"/>
        </w:rPr>
        <w:t xml:space="preserve"> №</w:t>
      </w:r>
      <w:r w:rsidR="00643516" w:rsidRPr="00643516">
        <w:rPr>
          <w:b/>
          <w:sz w:val="28"/>
          <w:szCs w:val="28"/>
        </w:rPr>
        <w:t xml:space="preserve"> 496</w:t>
      </w:r>
      <w:r w:rsidR="0064351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- </w:t>
      </w:r>
      <w:proofErr w:type="gramStart"/>
      <w:r>
        <w:rPr>
          <w:b/>
          <w:sz w:val="28"/>
          <w:szCs w:val="28"/>
        </w:rPr>
        <w:t>р</w:t>
      </w:r>
      <w:proofErr w:type="gramEnd"/>
    </w:p>
    <w:p w:rsidR="00EA6C88" w:rsidRDefault="00EA6C88" w:rsidP="00562225">
      <w:pPr>
        <w:pStyle w:val="Iauiue"/>
        <w:rPr>
          <w:b/>
          <w:sz w:val="28"/>
          <w:szCs w:val="28"/>
        </w:rPr>
      </w:pPr>
    </w:p>
    <w:p w:rsidR="00890042" w:rsidRDefault="00434439" w:rsidP="0043443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434439">
        <w:rPr>
          <w:b/>
          <w:sz w:val="28"/>
          <w:szCs w:val="28"/>
        </w:rPr>
        <w:t>Об основны</w:t>
      </w:r>
      <w:r>
        <w:rPr>
          <w:b/>
          <w:sz w:val="28"/>
          <w:szCs w:val="28"/>
        </w:rPr>
        <w:t>х направлениях долговой политики</w:t>
      </w:r>
      <w:r w:rsidR="00890042" w:rsidRPr="00890042">
        <w:rPr>
          <w:sz w:val="27"/>
          <w:szCs w:val="27"/>
        </w:rPr>
        <w:t xml:space="preserve"> </w:t>
      </w:r>
      <w:r w:rsidR="00890042" w:rsidRPr="00890042">
        <w:rPr>
          <w:b/>
          <w:sz w:val="28"/>
          <w:szCs w:val="28"/>
        </w:rPr>
        <w:t>муниципального образования</w:t>
      </w:r>
      <w:r w:rsidR="00890042">
        <w:rPr>
          <w:b/>
          <w:sz w:val="28"/>
          <w:szCs w:val="28"/>
        </w:rPr>
        <w:t xml:space="preserve"> «</w:t>
      </w:r>
      <w:r w:rsidR="000F6FF6" w:rsidRPr="004450D1">
        <w:rPr>
          <w:b/>
          <w:sz w:val="28"/>
          <w:szCs w:val="28"/>
        </w:rPr>
        <w:t>Таштагольск</w:t>
      </w:r>
      <w:r w:rsidR="00890042">
        <w:rPr>
          <w:b/>
          <w:sz w:val="28"/>
          <w:szCs w:val="28"/>
        </w:rPr>
        <w:t>ий</w:t>
      </w:r>
      <w:r w:rsidR="000F6FF6" w:rsidRPr="004450D1">
        <w:rPr>
          <w:b/>
          <w:sz w:val="28"/>
          <w:szCs w:val="28"/>
        </w:rPr>
        <w:t xml:space="preserve"> муниципальн</w:t>
      </w:r>
      <w:r w:rsidR="00890042">
        <w:rPr>
          <w:b/>
          <w:sz w:val="28"/>
          <w:szCs w:val="28"/>
        </w:rPr>
        <w:t>ый</w:t>
      </w:r>
      <w:r w:rsidR="000F6FF6" w:rsidRPr="004450D1">
        <w:rPr>
          <w:b/>
          <w:sz w:val="28"/>
          <w:szCs w:val="28"/>
        </w:rPr>
        <w:t xml:space="preserve"> район</w:t>
      </w:r>
      <w:r w:rsidR="00890042">
        <w:rPr>
          <w:b/>
          <w:sz w:val="28"/>
          <w:szCs w:val="28"/>
        </w:rPr>
        <w:t>»</w:t>
      </w:r>
      <w:r w:rsidR="00361E5C" w:rsidRPr="004450D1">
        <w:rPr>
          <w:b/>
          <w:sz w:val="28"/>
          <w:szCs w:val="28"/>
        </w:rPr>
        <w:t xml:space="preserve"> </w:t>
      </w:r>
    </w:p>
    <w:p w:rsidR="008C3D1F" w:rsidRDefault="00361E5C" w:rsidP="0043443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4450D1">
        <w:rPr>
          <w:b/>
          <w:sz w:val="28"/>
          <w:szCs w:val="28"/>
        </w:rPr>
        <w:t>на 202</w:t>
      </w:r>
      <w:r w:rsidR="000B2A72">
        <w:rPr>
          <w:b/>
          <w:sz w:val="28"/>
          <w:szCs w:val="28"/>
        </w:rPr>
        <w:t>5</w:t>
      </w:r>
      <w:r w:rsidR="000F6FF6" w:rsidRPr="004450D1">
        <w:rPr>
          <w:b/>
          <w:sz w:val="28"/>
          <w:szCs w:val="28"/>
        </w:rPr>
        <w:t xml:space="preserve"> год</w:t>
      </w:r>
      <w:r w:rsidR="00B5781E">
        <w:rPr>
          <w:sz w:val="28"/>
          <w:szCs w:val="28"/>
        </w:rPr>
        <w:t xml:space="preserve"> </w:t>
      </w:r>
      <w:r w:rsidR="00B5781E" w:rsidRPr="00B5781E">
        <w:rPr>
          <w:b/>
          <w:sz w:val="28"/>
          <w:szCs w:val="28"/>
        </w:rPr>
        <w:t>и плановый период 202</w:t>
      </w:r>
      <w:r w:rsidR="000B2A72">
        <w:rPr>
          <w:b/>
          <w:sz w:val="28"/>
          <w:szCs w:val="28"/>
        </w:rPr>
        <w:t>6</w:t>
      </w:r>
      <w:r w:rsidR="00B5781E" w:rsidRPr="00B5781E">
        <w:rPr>
          <w:b/>
          <w:sz w:val="28"/>
          <w:szCs w:val="28"/>
        </w:rPr>
        <w:t xml:space="preserve"> и 202</w:t>
      </w:r>
      <w:r w:rsidR="000B2A72">
        <w:rPr>
          <w:b/>
          <w:sz w:val="28"/>
          <w:szCs w:val="28"/>
        </w:rPr>
        <w:t>7</w:t>
      </w:r>
      <w:r w:rsidR="00B5781E" w:rsidRPr="00B5781E">
        <w:rPr>
          <w:b/>
          <w:sz w:val="28"/>
          <w:szCs w:val="28"/>
        </w:rPr>
        <w:t xml:space="preserve"> годов</w:t>
      </w:r>
    </w:p>
    <w:p w:rsidR="00E5545E" w:rsidRDefault="00E5545E" w:rsidP="00B5781E">
      <w:pPr>
        <w:jc w:val="center"/>
        <w:rPr>
          <w:b/>
          <w:sz w:val="28"/>
          <w:szCs w:val="28"/>
        </w:rPr>
      </w:pPr>
    </w:p>
    <w:p w:rsidR="00AF4D55" w:rsidRPr="00AF4D55" w:rsidRDefault="00AF4D55" w:rsidP="00AF4D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F4D55">
        <w:rPr>
          <w:bCs/>
          <w:sz w:val="28"/>
          <w:szCs w:val="28"/>
        </w:rPr>
        <w:t>В соответствии с пунктом 1</w:t>
      </w:r>
      <w:r w:rsidR="00834D50" w:rsidRPr="00834D50">
        <w:rPr>
          <w:bCs/>
          <w:sz w:val="28"/>
          <w:szCs w:val="28"/>
        </w:rPr>
        <w:t>3</w:t>
      </w:r>
      <w:r w:rsidRPr="00AF4D55">
        <w:rPr>
          <w:bCs/>
          <w:sz w:val="28"/>
          <w:szCs w:val="28"/>
        </w:rPr>
        <w:t xml:space="preserve"> статьи 107.1 Бюджетного кодекса Российской Федерации, в целях реализации ответственной долговой политики </w:t>
      </w:r>
      <w:r>
        <w:rPr>
          <w:sz w:val="28"/>
          <w:szCs w:val="28"/>
        </w:rPr>
        <w:t>Таштагольского муниципального района</w:t>
      </w:r>
      <w:r w:rsidRPr="00AF4D55">
        <w:rPr>
          <w:bCs/>
          <w:sz w:val="28"/>
          <w:szCs w:val="28"/>
        </w:rPr>
        <w:t xml:space="preserve"> и повышения ее эффективности:</w:t>
      </w:r>
    </w:p>
    <w:p w:rsidR="00A125AD" w:rsidRPr="00B5781E" w:rsidRDefault="00A125AD" w:rsidP="007C0F6E">
      <w:pPr>
        <w:ind w:firstLine="708"/>
        <w:jc w:val="both"/>
        <w:rPr>
          <w:sz w:val="28"/>
          <w:szCs w:val="28"/>
        </w:rPr>
      </w:pPr>
    </w:p>
    <w:p w:rsidR="004450D1" w:rsidRDefault="004450D1" w:rsidP="007C0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434439" w:rsidRPr="00434439">
        <w:rPr>
          <w:sz w:val="28"/>
          <w:szCs w:val="28"/>
        </w:rPr>
        <w:t>основные направления долговой политики</w:t>
      </w:r>
      <w:r w:rsidR="00434439" w:rsidRPr="00434439">
        <w:t xml:space="preserve"> </w:t>
      </w:r>
      <w:r w:rsidR="00890042" w:rsidRPr="00890042">
        <w:rPr>
          <w:sz w:val="28"/>
          <w:szCs w:val="28"/>
        </w:rPr>
        <w:t>муниципального образования «Таштагольский муниципальный район»</w:t>
      </w:r>
      <w:r w:rsidR="008900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0B2A7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434439">
        <w:rPr>
          <w:sz w:val="28"/>
          <w:szCs w:val="28"/>
        </w:rPr>
        <w:t xml:space="preserve"> и плановый период 202</w:t>
      </w:r>
      <w:r w:rsidR="000B2A72">
        <w:rPr>
          <w:sz w:val="28"/>
          <w:szCs w:val="28"/>
        </w:rPr>
        <w:t>6</w:t>
      </w:r>
      <w:r w:rsidR="007C0F6E">
        <w:rPr>
          <w:sz w:val="28"/>
          <w:szCs w:val="28"/>
        </w:rPr>
        <w:t xml:space="preserve"> и 202</w:t>
      </w:r>
      <w:r w:rsidR="000B2A72">
        <w:rPr>
          <w:sz w:val="28"/>
          <w:szCs w:val="28"/>
        </w:rPr>
        <w:t>7</w:t>
      </w:r>
      <w:r w:rsidR="007C0F6E">
        <w:rPr>
          <w:sz w:val="28"/>
          <w:szCs w:val="28"/>
        </w:rPr>
        <w:t xml:space="preserve"> годов согласно приложению, к настоящему </w:t>
      </w:r>
      <w:r w:rsidR="00A125AD">
        <w:rPr>
          <w:sz w:val="28"/>
          <w:szCs w:val="28"/>
        </w:rPr>
        <w:t>распоряжению</w:t>
      </w:r>
      <w:r>
        <w:rPr>
          <w:sz w:val="28"/>
          <w:szCs w:val="28"/>
        </w:rPr>
        <w:t>.</w:t>
      </w:r>
    </w:p>
    <w:p w:rsidR="004450D1" w:rsidRDefault="00B5781E" w:rsidP="00445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50D1">
        <w:rPr>
          <w:sz w:val="28"/>
          <w:szCs w:val="28"/>
        </w:rPr>
        <w:t xml:space="preserve">. Контроль за исполнением настоящего </w:t>
      </w:r>
      <w:r w:rsidR="00A125AD">
        <w:rPr>
          <w:sz w:val="28"/>
          <w:szCs w:val="28"/>
        </w:rPr>
        <w:t>распоряжения</w:t>
      </w:r>
      <w:r w:rsidR="004450D1">
        <w:rPr>
          <w:sz w:val="28"/>
          <w:szCs w:val="28"/>
        </w:rPr>
        <w:t xml:space="preserve"> возложить на заместителя Главы Таштагольского муниципального района по экономике           С.Е. Попова.</w:t>
      </w:r>
    </w:p>
    <w:p w:rsidR="004450D1" w:rsidRDefault="00B5781E" w:rsidP="00AF4D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50D1">
        <w:rPr>
          <w:sz w:val="28"/>
          <w:szCs w:val="28"/>
        </w:rPr>
        <w:t xml:space="preserve">. Настоящее </w:t>
      </w:r>
      <w:r w:rsidR="00A125AD">
        <w:rPr>
          <w:sz w:val="28"/>
          <w:szCs w:val="28"/>
        </w:rPr>
        <w:t>распоряжение</w:t>
      </w:r>
      <w:r w:rsidR="004450D1">
        <w:rPr>
          <w:sz w:val="28"/>
          <w:szCs w:val="28"/>
        </w:rPr>
        <w:t xml:space="preserve"> вступает в силу со дня его подписания</w:t>
      </w:r>
      <w:r w:rsidR="00AF4D55" w:rsidRPr="00AF4D55">
        <w:rPr>
          <w:sz w:val="28"/>
          <w:szCs w:val="28"/>
        </w:rPr>
        <w:t xml:space="preserve"> и распространяет свое действие на правоотношения, возникшие с 01.01.202</w:t>
      </w:r>
      <w:r w:rsidR="000B2A72">
        <w:rPr>
          <w:sz w:val="28"/>
          <w:szCs w:val="28"/>
        </w:rPr>
        <w:t>5</w:t>
      </w:r>
      <w:r w:rsidR="00AF4D55" w:rsidRPr="00AF4D55">
        <w:rPr>
          <w:sz w:val="28"/>
          <w:szCs w:val="28"/>
        </w:rPr>
        <w:t>.</w:t>
      </w:r>
    </w:p>
    <w:p w:rsidR="004450D1" w:rsidRDefault="004450D1" w:rsidP="004450D1">
      <w:pPr>
        <w:spacing w:line="360" w:lineRule="auto"/>
        <w:jc w:val="both"/>
        <w:rPr>
          <w:sz w:val="28"/>
          <w:szCs w:val="28"/>
        </w:rPr>
      </w:pPr>
    </w:p>
    <w:p w:rsidR="004450D1" w:rsidRDefault="004450D1" w:rsidP="004450D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50D1" w:rsidRDefault="004450D1" w:rsidP="004450D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50D1" w:rsidRDefault="004450D1" w:rsidP="004450D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Таштагольского</w:t>
      </w:r>
    </w:p>
    <w:p w:rsidR="004450D1" w:rsidRDefault="004450D1" w:rsidP="004450D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</w:t>
      </w:r>
      <w:r w:rsidR="00793ADE">
        <w:rPr>
          <w:rFonts w:ascii="Times New Roman" w:hAnsi="Times New Roman" w:cs="Times New Roman"/>
          <w:sz w:val="28"/>
          <w:szCs w:val="28"/>
        </w:rPr>
        <w:t>А. Г. Орлов</w:t>
      </w:r>
    </w:p>
    <w:p w:rsidR="004450D1" w:rsidRDefault="004450D1" w:rsidP="004450D1">
      <w:pPr>
        <w:pStyle w:val="Iauiue"/>
        <w:jc w:val="both"/>
        <w:rPr>
          <w:b/>
        </w:rPr>
      </w:pPr>
    </w:p>
    <w:p w:rsidR="004450D1" w:rsidRDefault="004450D1" w:rsidP="004450D1">
      <w:pPr>
        <w:pStyle w:val="Iauiue"/>
        <w:jc w:val="both"/>
      </w:pPr>
    </w:p>
    <w:p w:rsidR="00650812" w:rsidRDefault="00650812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Default="00AF4D55" w:rsidP="004450D1">
      <w:pPr>
        <w:ind w:firstLine="709"/>
        <w:jc w:val="both"/>
      </w:pPr>
    </w:p>
    <w:p w:rsidR="00AF4D55" w:rsidRPr="00F32896" w:rsidRDefault="00AF4D55" w:rsidP="00FD5E9E">
      <w:pPr>
        <w:jc w:val="both"/>
      </w:pPr>
    </w:p>
    <w:p w:rsidR="00AF4D55" w:rsidRPr="00676A19" w:rsidRDefault="00AF4D55" w:rsidP="00AF4D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76A19">
        <w:rPr>
          <w:sz w:val="28"/>
          <w:szCs w:val="28"/>
        </w:rPr>
        <w:lastRenderedPageBreak/>
        <w:t xml:space="preserve">Утверждена                                                                    </w:t>
      </w:r>
    </w:p>
    <w:p w:rsidR="00AF4D55" w:rsidRPr="00676A19" w:rsidRDefault="00AF4D55" w:rsidP="00AF4D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76A19">
        <w:rPr>
          <w:sz w:val="28"/>
          <w:szCs w:val="28"/>
        </w:rPr>
        <w:t xml:space="preserve">                                                          распоряжением  администрации</w:t>
      </w:r>
    </w:p>
    <w:p w:rsidR="00AF4D55" w:rsidRPr="00676A19" w:rsidRDefault="00AF4D55" w:rsidP="00AF4D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76A19">
        <w:rPr>
          <w:sz w:val="28"/>
          <w:szCs w:val="28"/>
        </w:rPr>
        <w:tab/>
      </w:r>
      <w:r w:rsidRPr="00676A19">
        <w:rPr>
          <w:sz w:val="28"/>
          <w:szCs w:val="28"/>
        </w:rPr>
        <w:tab/>
      </w:r>
      <w:r w:rsidRPr="00676A19">
        <w:rPr>
          <w:sz w:val="28"/>
          <w:szCs w:val="28"/>
        </w:rPr>
        <w:tab/>
      </w:r>
      <w:r w:rsidRPr="00676A19">
        <w:rPr>
          <w:sz w:val="28"/>
          <w:szCs w:val="28"/>
        </w:rPr>
        <w:tab/>
      </w:r>
      <w:r w:rsidRPr="00676A1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Таштагольского муниципального района</w:t>
      </w:r>
    </w:p>
    <w:p w:rsidR="00AF4D55" w:rsidRDefault="00AF4D55" w:rsidP="00AF4D55">
      <w:pPr>
        <w:ind w:firstLine="709"/>
        <w:jc w:val="right"/>
        <w:rPr>
          <w:sz w:val="28"/>
          <w:szCs w:val="28"/>
          <w:u w:val="single"/>
        </w:rPr>
      </w:pPr>
      <w:r w:rsidRPr="003E047F">
        <w:rPr>
          <w:sz w:val="28"/>
          <w:szCs w:val="28"/>
          <w:u w:val="single"/>
        </w:rPr>
        <w:t>от  «</w:t>
      </w:r>
      <w:r w:rsidR="00643516">
        <w:rPr>
          <w:sz w:val="28"/>
          <w:szCs w:val="28"/>
          <w:u w:val="single"/>
          <w:lang w:val="en-US"/>
        </w:rPr>
        <w:t>28</w:t>
      </w:r>
      <w:r w:rsidR="00793ADE">
        <w:rPr>
          <w:sz w:val="28"/>
          <w:szCs w:val="28"/>
          <w:u w:val="single"/>
        </w:rPr>
        <w:t xml:space="preserve"> </w:t>
      </w:r>
      <w:r w:rsidRPr="003E047F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="000B2A72">
        <w:rPr>
          <w:sz w:val="28"/>
          <w:szCs w:val="28"/>
          <w:u w:val="single"/>
        </w:rPr>
        <w:t>октя</w:t>
      </w:r>
      <w:r>
        <w:rPr>
          <w:sz w:val="28"/>
          <w:szCs w:val="28"/>
          <w:u w:val="single"/>
        </w:rPr>
        <w:t xml:space="preserve">бря </w:t>
      </w:r>
      <w:r w:rsidRPr="003E047F">
        <w:rPr>
          <w:sz w:val="28"/>
          <w:szCs w:val="28"/>
          <w:u w:val="single"/>
        </w:rPr>
        <w:t xml:space="preserve"> 202</w:t>
      </w:r>
      <w:r w:rsidR="000B2A72">
        <w:rPr>
          <w:sz w:val="28"/>
          <w:szCs w:val="28"/>
          <w:u w:val="single"/>
        </w:rPr>
        <w:t>4</w:t>
      </w:r>
      <w:r w:rsidRPr="003E047F">
        <w:rPr>
          <w:sz w:val="28"/>
          <w:szCs w:val="28"/>
          <w:u w:val="single"/>
        </w:rPr>
        <w:t xml:space="preserve"> года №</w:t>
      </w:r>
      <w:r w:rsidR="00643516">
        <w:rPr>
          <w:sz w:val="28"/>
          <w:szCs w:val="28"/>
          <w:u w:val="single"/>
          <w:lang w:val="en-US"/>
        </w:rPr>
        <w:t xml:space="preserve"> 496</w:t>
      </w:r>
      <w:r w:rsidR="000B2A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-</w:t>
      </w:r>
      <w:r w:rsidR="00643516">
        <w:rPr>
          <w:sz w:val="28"/>
          <w:szCs w:val="28"/>
          <w:u w:val="single"/>
          <w:lang w:val="en-US"/>
        </w:rPr>
        <w:t xml:space="preserve"> </w:t>
      </w:r>
      <w:proofErr w:type="gramStart"/>
      <w:r>
        <w:rPr>
          <w:sz w:val="28"/>
          <w:szCs w:val="28"/>
          <w:u w:val="single"/>
        </w:rPr>
        <w:t>р</w:t>
      </w:r>
      <w:proofErr w:type="gramEnd"/>
    </w:p>
    <w:p w:rsidR="00AF4D55" w:rsidRDefault="00AF4D55" w:rsidP="00AF4D55">
      <w:pPr>
        <w:ind w:firstLine="709"/>
        <w:jc w:val="right"/>
        <w:rPr>
          <w:sz w:val="28"/>
          <w:szCs w:val="28"/>
          <w:u w:val="single"/>
        </w:rPr>
      </w:pPr>
    </w:p>
    <w:p w:rsidR="00890042" w:rsidRDefault="00890042" w:rsidP="00AF4D5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</w:t>
      </w:r>
      <w:r w:rsidRPr="00890042">
        <w:rPr>
          <w:b/>
          <w:bCs/>
          <w:sz w:val="27"/>
          <w:szCs w:val="27"/>
        </w:rPr>
        <w:t>сновные направления долговой политики муниципального образования</w:t>
      </w:r>
      <w:bookmarkStart w:id="0" w:name="_GoBack"/>
      <w:bookmarkEnd w:id="0"/>
      <w:r w:rsidRPr="00890042">
        <w:rPr>
          <w:b/>
          <w:bCs/>
          <w:sz w:val="27"/>
          <w:szCs w:val="27"/>
        </w:rPr>
        <w:t xml:space="preserve"> «Таштагольский муниципальный район» </w:t>
      </w:r>
    </w:p>
    <w:p w:rsidR="00AF4D55" w:rsidRDefault="00890042" w:rsidP="00AF4D5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890042">
        <w:rPr>
          <w:b/>
          <w:bCs/>
          <w:sz w:val="27"/>
          <w:szCs w:val="27"/>
        </w:rPr>
        <w:t>на 202</w:t>
      </w:r>
      <w:r w:rsidR="000B2A72">
        <w:rPr>
          <w:b/>
          <w:bCs/>
          <w:sz w:val="27"/>
          <w:szCs w:val="27"/>
        </w:rPr>
        <w:t>5</w:t>
      </w:r>
      <w:r w:rsidRPr="00890042">
        <w:rPr>
          <w:b/>
          <w:bCs/>
          <w:sz w:val="27"/>
          <w:szCs w:val="27"/>
        </w:rPr>
        <w:t xml:space="preserve"> год и плановый период 202</w:t>
      </w:r>
      <w:r w:rsidR="000B2A72">
        <w:rPr>
          <w:b/>
          <w:bCs/>
          <w:sz w:val="27"/>
          <w:szCs w:val="27"/>
        </w:rPr>
        <w:t>6</w:t>
      </w:r>
      <w:r w:rsidR="00793ADE">
        <w:rPr>
          <w:b/>
          <w:bCs/>
          <w:sz w:val="27"/>
          <w:szCs w:val="27"/>
        </w:rPr>
        <w:t xml:space="preserve"> и 202</w:t>
      </w:r>
      <w:r w:rsidR="000B2A72">
        <w:rPr>
          <w:b/>
          <w:bCs/>
          <w:sz w:val="27"/>
          <w:szCs w:val="27"/>
        </w:rPr>
        <w:t>7</w:t>
      </w:r>
      <w:r w:rsidRPr="00890042">
        <w:rPr>
          <w:b/>
          <w:bCs/>
          <w:sz w:val="27"/>
          <w:szCs w:val="27"/>
        </w:rPr>
        <w:t xml:space="preserve"> годов</w:t>
      </w:r>
    </w:p>
    <w:p w:rsidR="00890042" w:rsidRDefault="00890042" w:rsidP="00AF4D5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890042" w:rsidRDefault="00AF4D55" w:rsidP="00890042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AF4D55">
        <w:rPr>
          <w:rFonts w:ascii="Times New Roman" w:hAnsi="Times New Roman" w:cs="Times New Roman"/>
          <w:sz w:val="27"/>
          <w:szCs w:val="27"/>
        </w:rPr>
        <w:t>Общие положения</w:t>
      </w:r>
    </w:p>
    <w:p w:rsidR="00890042" w:rsidRPr="00890042" w:rsidRDefault="00890042" w:rsidP="00890042">
      <w:pPr>
        <w:pStyle w:val="ConsPlusTitle"/>
        <w:ind w:left="720"/>
        <w:outlineLvl w:val="1"/>
        <w:rPr>
          <w:rFonts w:ascii="Times New Roman" w:hAnsi="Times New Roman" w:cs="Times New Roman"/>
          <w:sz w:val="27"/>
          <w:szCs w:val="27"/>
        </w:rPr>
      </w:pPr>
    </w:p>
    <w:p w:rsidR="00AF4D55" w:rsidRPr="00AF4D55" w:rsidRDefault="00AF4D55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>Основные направления долговой политики муниципального образования</w:t>
      </w:r>
      <w:r w:rsidR="00890042">
        <w:rPr>
          <w:rFonts w:ascii="Times New Roman" w:hAnsi="Times New Roman" w:cs="Times New Roman"/>
          <w:sz w:val="27"/>
          <w:szCs w:val="27"/>
        </w:rPr>
        <w:t xml:space="preserve"> «Таштагольский муниципальный район»</w:t>
      </w:r>
      <w:r w:rsidRPr="00AF4D55">
        <w:rPr>
          <w:rFonts w:ascii="Times New Roman" w:hAnsi="Times New Roman" w:cs="Times New Roman"/>
          <w:sz w:val="27"/>
          <w:szCs w:val="27"/>
        </w:rPr>
        <w:t xml:space="preserve"> </w:t>
      </w:r>
      <w:r w:rsidR="00525D3E">
        <w:rPr>
          <w:rFonts w:ascii="Times New Roman" w:hAnsi="Times New Roman" w:cs="Times New Roman"/>
          <w:sz w:val="27"/>
          <w:szCs w:val="27"/>
        </w:rPr>
        <w:t>202</w:t>
      </w:r>
      <w:r w:rsidR="000B2A72">
        <w:rPr>
          <w:rFonts w:ascii="Times New Roman" w:hAnsi="Times New Roman" w:cs="Times New Roman"/>
          <w:sz w:val="27"/>
          <w:szCs w:val="27"/>
        </w:rPr>
        <w:t>5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год и плановый период 202</w:t>
      </w:r>
      <w:r w:rsidR="000B2A72">
        <w:rPr>
          <w:rFonts w:ascii="Times New Roman" w:hAnsi="Times New Roman" w:cs="Times New Roman"/>
          <w:sz w:val="27"/>
          <w:szCs w:val="27"/>
        </w:rPr>
        <w:t>6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и 202</w:t>
      </w:r>
      <w:r w:rsidR="000B2A72">
        <w:rPr>
          <w:rFonts w:ascii="Times New Roman" w:hAnsi="Times New Roman" w:cs="Times New Roman"/>
          <w:sz w:val="27"/>
          <w:szCs w:val="27"/>
        </w:rPr>
        <w:t>7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годов</w:t>
      </w:r>
      <w:r w:rsidRPr="00AF4D55">
        <w:rPr>
          <w:rFonts w:ascii="Times New Roman" w:hAnsi="Times New Roman" w:cs="Times New Roman"/>
          <w:sz w:val="27"/>
          <w:szCs w:val="27"/>
        </w:rPr>
        <w:t xml:space="preserve"> определяют цели и приоритеты деятельности органов местного самоуправления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890042">
        <w:rPr>
          <w:rFonts w:ascii="Times New Roman" w:hAnsi="Times New Roman" w:cs="Times New Roman"/>
          <w:sz w:val="27"/>
          <w:szCs w:val="27"/>
        </w:rPr>
        <w:t xml:space="preserve">«Таштагольский муниципальный район» </w:t>
      </w:r>
      <w:r w:rsidRPr="00AF4D55">
        <w:rPr>
          <w:rFonts w:ascii="Times New Roman" w:hAnsi="Times New Roman" w:cs="Times New Roman"/>
          <w:sz w:val="27"/>
          <w:szCs w:val="27"/>
        </w:rPr>
        <w:t>в области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управления муниципальным долгом района.</w:t>
      </w:r>
    </w:p>
    <w:p w:rsidR="00AF4D55" w:rsidRPr="00AF4D55" w:rsidRDefault="00AF4D55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AF4D55">
        <w:rPr>
          <w:rFonts w:ascii="Times New Roman" w:hAnsi="Times New Roman" w:cs="Times New Roman"/>
          <w:sz w:val="27"/>
          <w:szCs w:val="27"/>
        </w:rPr>
        <w:t>Под долговой политикой понимается стратегия управления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муниципальными долговыми обязательствами района в целях поддержания объема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муниципального долга района на оптимальном уровне, минимизации расходов на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его обслуживание и равномерного распределения во времени платежей, связанных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с муниципальным долгом района.</w:t>
      </w:r>
    </w:p>
    <w:p w:rsidR="00AF4D55" w:rsidRPr="00AF4D55" w:rsidRDefault="00AF4D55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AF4D55">
        <w:rPr>
          <w:rFonts w:ascii="Times New Roman" w:hAnsi="Times New Roman" w:cs="Times New Roman"/>
          <w:sz w:val="27"/>
          <w:szCs w:val="27"/>
        </w:rPr>
        <w:t>Долговая политика является частью бюджетной политики района.</w:t>
      </w:r>
    </w:p>
    <w:p w:rsidR="00AF4D55" w:rsidRPr="00AF4D55" w:rsidRDefault="00AF4D55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AF4D55">
        <w:rPr>
          <w:rFonts w:ascii="Times New Roman" w:hAnsi="Times New Roman" w:cs="Times New Roman"/>
          <w:sz w:val="27"/>
          <w:szCs w:val="27"/>
        </w:rPr>
        <w:t>Управление муниципальным долгом района непосредственно связано с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бюджетным процессом.</w:t>
      </w:r>
    </w:p>
    <w:p w:rsidR="00AF4D55" w:rsidRDefault="00AF4D55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AF4D55">
        <w:rPr>
          <w:rFonts w:ascii="Times New Roman" w:hAnsi="Times New Roman" w:cs="Times New Roman"/>
          <w:sz w:val="27"/>
          <w:szCs w:val="27"/>
        </w:rPr>
        <w:t>Долговая политика направлена на эффективное управление муниципальным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долгом района, недопущение просроченных долговых обязательств района и</w:t>
      </w:r>
      <w:r w:rsidR="00890042">
        <w:rPr>
          <w:rFonts w:ascii="Times New Roman" w:hAnsi="Times New Roman" w:cs="Times New Roman"/>
          <w:sz w:val="27"/>
          <w:szCs w:val="27"/>
        </w:rPr>
        <w:t xml:space="preserve"> </w:t>
      </w:r>
      <w:r w:rsidRPr="00AF4D55">
        <w:rPr>
          <w:rFonts w:ascii="Times New Roman" w:hAnsi="Times New Roman" w:cs="Times New Roman"/>
          <w:sz w:val="27"/>
          <w:szCs w:val="27"/>
        </w:rPr>
        <w:t>снижение влияния долговой нагрузки на районный бюджет.</w:t>
      </w:r>
    </w:p>
    <w:p w:rsidR="00890042" w:rsidRDefault="00890042" w:rsidP="00890042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890042" w:rsidRDefault="00890042" w:rsidP="00FD634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>II. Итоги реализации долговой политики</w:t>
      </w:r>
    </w:p>
    <w:p w:rsidR="00890042" w:rsidRPr="00890042" w:rsidRDefault="00890042" w:rsidP="00B90517">
      <w:pPr>
        <w:pStyle w:val="ConsPlusTitle"/>
        <w:ind w:left="360"/>
        <w:outlineLvl w:val="1"/>
        <w:rPr>
          <w:rFonts w:ascii="Times New Roman" w:hAnsi="Times New Roman" w:cs="Times New Roman"/>
          <w:sz w:val="27"/>
          <w:szCs w:val="27"/>
        </w:rPr>
      </w:pPr>
    </w:p>
    <w:p w:rsidR="00B90517" w:rsidRDefault="00B90517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Ожидаемый </w:t>
      </w:r>
      <w:r w:rsidR="00890042" w:rsidRPr="00890042">
        <w:rPr>
          <w:rFonts w:ascii="Times New Roman" w:hAnsi="Times New Roman" w:cs="Times New Roman"/>
          <w:sz w:val="27"/>
          <w:szCs w:val="27"/>
        </w:rPr>
        <w:t>объем муниципального долга</w:t>
      </w:r>
      <w:r w:rsidR="00394256">
        <w:rPr>
          <w:rFonts w:ascii="Times New Roman" w:hAnsi="Times New Roman" w:cs="Times New Roman"/>
          <w:sz w:val="27"/>
          <w:szCs w:val="27"/>
        </w:rPr>
        <w:t xml:space="preserve"> Таштагольского муниципального района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 </w:t>
      </w:r>
      <w:r w:rsidRPr="00890042">
        <w:rPr>
          <w:rFonts w:ascii="Times New Roman" w:hAnsi="Times New Roman" w:cs="Times New Roman"/>
          <w:sz w:val="27"/>
          <w:szCs w:val="27"/>
        </w:rPr>
        <w:t>202</w:t>
      </w:r>
      <w:r w:rsidR="000B2A72">
        <w:rPr>
          <w:rFonts w:ascii="Times New Roman" w:hAnsi="Times New Roman" w:cs="Times New Roman"/>
          <w:sz w:val="27"/>
          <w:szCs w:val="27"/>
        </w:rPr>
        <w:t>4</w:t>
      </w:r>
      <w:r w:rsidRPr="00890042">
        <w:rPr>
          <w:rFonts w:ascii="Times New Roman" w:hAnsi="Times New Roman" w:cs="Times New Roman"/>
          <w:sz w:val="27"/>
          <w:szCs w:val="27"/>
        </w:rPr>
        <w:t xml:space="preserve"> год </w:t>
      </w:r>
      <w:r w:rsidR="00525D3E">
        <w:rPr>
          <w:rFonts w:ascii="Times New Roman" w:hAnsi="Times New Roman" w:cs="Times New Roman"/>
          <w:sz w:val="27"/>
          <w:szCs w:val="27"/>
        </w:rPr>
        <w:t xml:space="preserve">составит </w:t>
      </w:r>
      <w:r w:rsidR="000B2A72">
        <w:rPr>
          <w:rFonts w:ascii="Times New Roman" w:hAnsi="Times New Roman" w:cs="Times New Roman"/>
          <w:sz w:val="27"/>
          <w:szCs w:val="27"/>
        </w:rPr>
        <w:t>8</w:t>
      </w:r>
      <w:r w:rsidR="00394256">
        <w:rPr>
          <w:rFonts w:ascii="Times New Roman" w:hAnsi="Times New Roman" w:cs="Times New Roman"/>
          <w:sz w:val="27"/>
          <w:szCs w:val="27"/>
        </w:rPr>
        <w:t>,</w:t>
      </w:r>
      <w:r w:rsidR="000B2A72">
        <w:rPr>
          <w:rFonts w:ascii="Times New Roman" w:hAnsi="Times New Roman" w:cs="Times New Roman"/>
          <w:sz w:val="27"/>
          <w:szCs w:val="27"/>
        </w:rPr>
        <w:t>28</w:t>
      </w:r>
      <w:r w:rsidR="00394256">
        <w:rPr>
          <w:rFonts w:ascii="Times New Roman" w:hAnsi="Times New Roman" w:cs="Times New Roman"/>
          <w:sz w:val="27"/>
          <w:szCs w:val="27"/>
        </w:rPr>
        <w:t xml:space="preserve"> млн. руб., что </w:t>
      </w:r>
      <w:r w:rsidR="00890042" w:rsidRPr="00890042">
        <w:rPr>
          <w:rFonts w:ascii="Times New Roman" w:hAnsi="Times New Roman" w:cs="Times New Roman"/>
          <w:sz w:val="27"/>
          <w:szCs w:val="27"/>
        </w:rPr>
        <w:t>соответствует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0042" w:rsidRPr="00890042">
        <w:rPr>
          <w:rFonts w:ascii="Times New Roman" w:hAnsi="Times New Roman" w:cs="Times New Roman"/>
          <w:sz w:val="27"/>
          <w:szCs w:val="27"/>
        </w:rPr>
        <w:t>условиям соглашени</w:t>
      </w:r>
      <w:r w:rsidR="00394256">
        <w:rPr>
          <w:rFonts w:ascii="Times New Roman" w:hAnsi="Times New Roman" w:cs="Times New Roman"/>
          <w:sz w:val="27"/>
          <w:szCs w:val="27"/>
        </w:rPr>
        <w:t>я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о реструктуризации</w:t>
      </w:r>
      <w:r w:rsidR="00394256">
        <w:rPr>
          <w:rFonts w:ascii="Times New Roman" w:hAnsi="Times New Roman" w:cs="Times New Roman"/>
          <w:sz w:val="27"/>
          <w:szCs w:val="27"/>
        </w:rPr>
        <w:t xml:space="preserve"> бюджетного кредита</w:t>
      </w:r>
      <w:r w:rsidR="00890042" w:rsidRPr="00890042">
        <w:rPr>
          <w:rFonts w:ascii="Times New Roman" w:hAnsi="Times New Roman" w:cs="Times New Roman"/>
          <w:sz w:val="27"/>
          <w:szCs w:val="27"/>
        </w:rPr>
        <w:t>, проведенно</w:t>
      </w:r>
      <w:r w:rsidR="00394256">
        <w:rPr>
          <w:rFonts w:ascii="Times New Roman" w:hAnsi="Times New Roman" w:cs="Times New Roman"/>
          <w:sz w:val="27"/>
          <w:szCs w:val="27"/>
        </w:rPr>
        <w:t>го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в 20</w:t>
      </w:r>
      <w:r w:rsidR="00394256">
        <w:rPr>
          <w:rFonts w:ascii="Times New Roman" w:hAnsi="Times New Roman" w:cs="Times New Roman"/>
          <w:sz w:val="27"/>
          <w:szCs w:val="27"/>
        </w:rPr>
        <w:t>20 году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, по обязательствам </w:t>
      </w:r>
      <w:r w:rsidR="00394256">
        <w:rPr>
          <w:rFonts w:ascii="Times New Roman" w:hAnsi="Times New Roman" w:cs="Times New Roman"/>
          <w:sz w:val="27"/>
          <w:szCs w:val="27"/>
        </w:rPr>
        <w:t>Таштагольского муниципального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перед </w:t>
      </w:r>
      <w:r w:rsidR="00394256">
        <w:rPr>
          <w:rFonts w:ascii="Times New Roman" w:hAnsi="Times New Roman" w:cs="Times New Roman"/>
          <w:sz w:val="27"/>
          <w:szCs w:val="27"/>
        </w:rPr>
        <w:t>Кемеровской областью - Кузбассом по бюджетному</w:t>
      </w:r>
      <w:r w:rsidR="00890042" w:rsidRPr="00890042">
        <w:rPr>
          <w:rFonts w:ascii="Times New Roman" w:hAnsi="Times New Roman" w:cs="Times New Roman"/>
          <w:sz w:val="27"/>
          <w:szCs w:val="27"/>
        </w:rPr>
        <w:t xml:space="preserve"> кредит</w:t>
      </w:r>
      <w:r w:rsidR="00394256">
        <w:rPr>
          <w:rFonts w:ascii="Times New Roman" w:hAnsi="Times New Roman" w:cs="Times New Roman"/>
          <w:sz w:val="27"/>
          <w:szCs w:val="27"/>
        </w:rPr>
        <w:t>у</w:t>
      </w:r>
      <w:r w:rsidR="00890042" w:rsidRPr="00890042">
        <w:rPr>
          <w:rFonts w:ascii="Times New Roman" w:hAnsi="Times New Roman" w:cs="Times New Roman"/>
          <w:sz w:val="27"/>
          <w:szCs w:val="27"/>
        </w:rPr>
        <w:t>, и не превысит предельный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0042" w:rsidRPr="00890042">
        <w:rPr>
          <w:rFonts w:ascii="Times New Roman" w:hAnsi="Times New Roman" w:cs="Times New Roman"/>
          <w:sz w:val="27"/>
          <w:szCs w:val="27"/>
        </w:rPr>
        <w:t>объем, установленный решением о районном бюджете.</w:t>
      </w:r>
    </w:p>
    <w:p w:rsidR="00B90517" w:rsidRDefault="00890042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>Требования бюджетного законодательства Российской Федерации к объему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>расходов на обслуживание муниципального долга и структуре муниципального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>долга района по ожидаемым итогам исполнения районного бюджета за 202</w:t>
      </w:r>
      <w:r w:rsidR="000B2A72">
        <w:rPr>
          <w:rFonts w:ascii="Times New Roman" w:hAnsi="Times New Roman" w:cs="Times New Roman"/>
          <w:sz w:val="27"/>
          <w:szCs w:val="27"/>
        </w:rPr>
        <w:t>4</w:t>
      </w:r>
      <w:r w:rsidRPr="00890042">
        <w:rPr>
          <w:rFonts w:ascii="Times New Roman" w:hAnsi="Times New Roman" w:cs="Times New Roman"/>
          <w:sz w:val="27"/>
          <w:szCs w:val="27"/>
        </w:rPr>
        <w:t xml:space="preserve"> год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890042">
        <w:rPr>
          <w:rFonts w:ascii="Times New Roman" w:hAnsi="Times New Roman" w:cs="Times New Roman"/>
          <w:sz w:val="27"/>
          <w:szCs w:val="27"/>
        </w:rPr>
        <w:t>будут соблюдены</w:t>
      </w:r>
      <w:r w:rsidR="00394256">
        <w:rPr>
          <w:rFonts w:ascii="Times New Roman" w:hAnsi="Times New Roman" w:cs="Times New Roman"/>
          <w:sz w:val="27"/>
          <w:szCs w:val="27"/>
        </w:rPr>
        <w:t xml:space="preserve"> и составит</w:t>
      </w:r>
      <w:proofErr w:type="gramEnd"/>
      <w:r w:rsidR="00394256">
        <w:rPr>
          <w:rFonts w:ascii="Times New Roman" w:hAnsi="Times New Roman" w:cs="Times New Roman"/>
          <w:sz w:val="27"/>
          <w:szCs w:val="27"/>
        </w:rPr>
        <w:t xml:space="preserve"> </w:t>
      </w:r>
      <w:r w:rsidR="005308AC">
        <w:rPr>
          <w:rFonts w:ascii="Times New Roman" w:hAnsi="Times New Roman" w:cs="Times New Roman"/>
          <w:sz w:val="27"/>
          <w:szCs w:val="27"/>
        </w:rPr>
        <w:t>8</w:t>
      </w:r>
      <w:r w:rsidR="00EA43BC">
        <w:rPr>
          <w:rFonts w:ascii="Times New Roman" w:hAnsi="Times New Roman" w:cs="Times New Roman"/>
          <w:sz w:val="27"/>
          <w:szCs w:val="27"/>
        </w:rPr>
        <w:t>,</w:t>
      </w:r>
      <w:r w:rsidR="005308AC">
        <w:rPr>
          <w:rFonts w:ascii="Times New Roman" w:hAnsi="Times New Roman" w:cs="Times New Roman"/>
          <w:sz w:val="27"/>
          <w:szCs w:val="27"/>
        </w:rPr>
        <w:t>96</w:t>
      </w:r>
      <w:r w:rsidR="00EA43BC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890042">
        <w:rPr>
          <w:rFonts w:ascii="Times New Roman" w:hAnsi="Times New Roman" w:cs="Times New Roman"/>
          <w:sz w:val="27"/>
          <w:szCs w:val="27"/>
        </w:rPr>
        <w:t>.</w:t>
      </w:r>
    </w:p>
    <w:p w:rsidR="00B90517" w:rsidRDefault="00890042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 xml:space="preserve">Структура муниципального долга муниципального образования </w:t>
      </w:r>
      <w:r w:rsidR="00EA43BC">
        <w:rPr>
          <w:rFonts w:ascii="Times New Roman" w:hAnsi="Times New Roman" w:cs="Times New Roman"/>
          <w:sz w:val="27"/>
          <w:szCs w:val="27"/>
        </w:rPr>
        <w:t xml:space="preserve">«Таштагольский муниципальный район» </w:t>
      </w:r>
      <w:r w:rsidRPr="00890042">
        <w:rPr>
          <w:rFonts w:ascii="Times New Roman" w:hAnsi="Times New Roman" w:cs="Times New Roman"/>
          <w:sz w:val="27"/>
          <w:szCs w:val="27"/>
        </w:rPr>
        <w:t xml:space="preserve">соответствует долговым обязательствам, </w:t>
      </w:r>
      <w:r w:rsidR="00EA43BC">
        <w:rPr>
          <w:rFonts w:ascii="Times New Roman" w:hAnsi="Times New Roman" w:cs="Times New Roman"/>
          <w:sz w:val="27"/>
          <w:szCs w:val="27"/>
        </w:rPr>
        <w:t>программе</w:t>
      </w:r>
      <w:r w:rsidRPr="00890042">
        <w:rPr>
          <w:rFonts w:ascii="Times New Roman" w:hAnsi="Times New Roman" w:cs="Times New Roman"/>
          <w:sz w:val="27"/>
          <w:szCs w:val="27"/>
        </w:rPr>
        <w:t xml:space="preserve"> муниципальных внутренни</w:t>
      </w:r>
      <w:r w:rsidR="00EA43BC">
        <w:rPr>
          <w:rFonts w:ascii="Times New Roman" w:hAnsi="Times New Roman" w:cs="Times New Roman"/>
          <w:sz w:val="27"/>
          <w:szCs w:val="27"/>
        </w:rPr>
        <w:t>х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 xml:space="preserve">заимствований </w:t>
      </w:r>
      <w:r w:rsidR="00EA43BC">
        <w:rPr>
          <w:rFonts w:ascii="Times New Roman" w:hAnsi="Times New Roman" w:cs="Times New Roman"/>
          <w:sz w:val="27"/>
          <w:szCs w:val="27"/>
        </w:rPr>
        <w:t>Таштагольск</w:t>
      </w:r>
      <w:r w:rsidR="00FD634E">
        <w:rPr>
          <w:rFonts w:ascii="Times New Roman" w:hAnsi="Times New Roman" w:cs="Times New Roman"/>
          <w:sz w:val="27"/>
          <w:szCs w:val="27"/>
        </w:rPr>
        <w:t>ого</w:t>
      </w:r>
      <w:r w:rsidR="00EA43BC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FD634E">
        <w:rPr>
          <w:rFonts w:ascii="Times New Roman" w:hAnsi="Times New Roman" w:cs="Times New Roman"/>
          <w:sz w:val="27"/>
          <w:szCs w:val="27"/>
        </w:rPr>
        <w:t>ого</w:t>
      </w:r>
      <w:r w:rsidR="00EA43BC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FD634E">
        <w:rPr>
          <w:rFonts w:ascii="Times New Roman" w:hAnsi="Times New Roman" w:cs="Times New Roman"/>
          <w:sz w:val="27"/>
          <w:szCs w:val="27"/>
        </w:rPr>
        <w:t>а</w:t>
      </w:r>
      <w:r w:rsidRPr="00890042">
        <w:rPr>
          <w:rFonts w:ascii="Times New Roman" w:hAnsi="Times New Roman" w:cs="Times New Roman"/>
          <w:sz w:val="27"/>
          <w:szCs w:val="27"/>
        </w:rPr>
        <w:t>,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>утверждаем</w:t>
      </w:r>
      <w:r w:rsidR="00FD634E">
        <w:rPr>
          <w:rFonts w:ascii="Times New Roman" w:hAnsi="Times New Roman" w:cs="Times New Roman"/>
          <w:sz w:val="27"/>
          <w:szCs w:val="27"/>
        </w:rPr>
        <w:t>ой</w:t>
      </w:r>
      <w:r w:rsidRPr="00890042">
        <w:rPr>
          <w:rFonts w:ascii="Times New Roman" w:hAnsi="Times New Roman" w:cs="Times New Roman"/>
          <w:sz w:val="27"/>
          <w:szCs w:val="27"/>
        </w:rPr>
        <w:t xml:space="preserve"> ежегодно решением Совета народных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EA43BC">
        <w:rPr>
          <w:rFonts w:ascii="Times New Roman" w:hAnsi="Times New Roman" w:cs="Times New Roman"/>
          <w:sz w:val="27"/>
          <w:szCs w:val="27"/>
        </w:rPr>
        <w:t xml:space="preserve">Таштагольского муниципального района </w:t>
      </w:r>
      <w:r w:rsidRPr="00890042">
        <w:rPr>
          <w:rFonts w:ascii="Times New Roman" w:hAnsi="Times New Roman" w:cs="Times New Roman"/>
          <w:sz w:val="27"/>
          <w:szCs w:val="27"/>
        </w:rPr>
        <w:t>на очередной финансовый год</w:t>
      </w:r>
      <w:r w:rsidR="00EA43BC">
        <w:rPr>
          <w:rFonts w:ascii="Times New Roman" w:hAnsi="Times New Roman" w:cs="Times New Roman"/>
          <w:sz w:val="27"/>
          <w:szCs w:val="27"/>
        </w:rPr>
        <w:t xml:space="preserve"> и плановый период</w:t>
      </w:r>
      <w:r w:rsidRPr="00890042">
        <w:rPr>
          <w:rFonts w:ascii="Times New Roman" w:hAnsi="Times New Roman" w:cs="Times New Roman"/>
          <w:sz w:val="27"/>
          <w:szCs w:val="27"/>
        </w:rPr>
        <w:t>.</w:t>
      </w:r>
      <w:r w:rsidR="00B9051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F4116C" w:rsidRPr="00FD5E9E" w:rsidRDefault="00F4116C" w:rsidP="00FD5E9E">
      <w:pPr>
        <w:suppressAutoHyphens/>
        <w:ind w:firstLine="567"/>
        <w:jc w:val="both"/>
        <w:rPr>
          <w:sz w:val="28"/>
        </w:rPr>
      </w:pPr>
      <w:r w:rsidRPr="00F4116C">
        <w:rPr>
          <w:sz w:val="28"/>
        </w:rPr>
        <w:t xml:space="preserve">  За последние 5 лет динамика показателей долговой политики </w:t>
      </w:r>
      <w:r>
        <w:rPr>
          <w:sz w:val="27"/>
          <w:szCs w:val="27"/>
        </w:rPr>
        <w:t>Таштагольского муниципального района</w:t>
      </w:r>
      <w:r w:rsidRPr="00F4116C">
        <w:rPr>
          <w:sz w:val="28"/>
        </w:rPr>
        <w:t xml:space="preserve"> сложилась следующим образом:</w:t>
      </w:r>
    </w:p>
    <w:p w:rsidR="00F4116C" w:rsidRPr="00F4116C" w:rsidRDefault="00F4116C" w:rsidP="00F4116C">
      <w:pPr>
        <w:suppressAutoHyphens/>
        <w:jc w:val="center"/>
        <w:rPr>
          <w:sz w:val="28"/>
        </w:rPr>
      </w:pPr>
      <w:r w:rsidRPr="00F4116C">
        <w:rPr>
          <w:sz w:val="28"/>
        </w:rPr>
        <w:lastRenderedPageBreak/>
        <w:t xml:space="preserve">Динамика муниципального долга </w:t>
      </w:r>
      <w:r>
        <w:rPr>
          <w:sz w:val="27"/>
          <w:szCs w:val="27"/>
        </w:rPr>
        <w:t>Таштагольского муниципального района</w:t>
      </w:r>
    </w:p>
    <w:p w:rsidR="00F4116C" w:rsidRPr="00F4116C" w:rsidRDefault="00F4116C" w:rsidP="00F4116C">
      <w:pPr>
        <w:suppressAutoHyphens/>
        <w:jc w:val="center"/>
        <w:rPr>
          <w:sz w:val="28"/>
        </w:rPr>
      </w:pPr>
      <w:r w:rsidRPr="00F4116C">
        <w:rPr>
          <w:sz w:val="28"/>
        </w:rPr>
        <w:t>в 201</w:t>
      </w:r>
      <w:r w:rsidR="005308AC">
        <w:rPr>
          <w:sz w:val="28"/>
        </w:rPr>
        <w:t>9</w:t>
      </w:r>
      <w:r w:rsidRPr="00F4116C">
        <w:rPr>
          <w:sz w:val="28"/>
        </w:rPr>
        <w:t xml:space="preserve"> -20</w:t>
      </w:r>
      <w:r>
        <w:rPr>
          <w:sz w:val="28"/>
        </w:rPr>
        <w:t>2</w:t>
      </w:r>
      <w:r w:rsidR="005308AC">
        <w:rPr>
          <w:sz w:val="28"/>
        </w:rPr>
        <w:t>3</w:t>
      </w:r>
      <w:r w:rsidRPr="00F4116C">
        <w:rPr>
          <w:sz w:val="28"/>
        </w:rPr>
        <w:t xml:space="preserve"> гг.</w:t>
      </w:r>
    </w:p>
    <w:p w:rsidR="00F4116C" w:rsidRPr="00F4116C" w:rsidRDefault="00F4116C" w:rsidP="00F4116C">
      <w:pPr>
        <w:suppressAutoHyphens/>
        <w:jc w:val="both"/>
        <w:rPr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6"/>
        <w:gridCol w:w="1275"/>
        <w:gridCol w:w="1276"/>
        <w:gridCol w:w="1276"/>
        <w:gridCol w:w="1276"/>
      </w:tblGrid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F4116C" w:rsidRDefault="005308AC" w:rsidP="00F4116C">
            <w:pPr>
              <w:suppressAutoHyphens/>
              <w:jc w:val="center"/>
            </w:pPr>
            <w:r w:rsidRPr="00F4116C"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5308AC" w:rsidRPr="00F4116C" w:rsidRDefault="005308AC" w:rsidP="005308AC">
            <w:pPr>
              <w:suppressAutoHyphens/>
              <w:jc w:val="center"/>
            </w:pPr>
            <w:r w:rsidRPr="00F4116C">
              <w:t>2019</w:t>
            </w:r>
          </w:p>
          <w:p w:rsidR="005308AC" w:rsidRPr="00F4116C" w:rsidRDefault="005308AC" w:rsidP="005308AC">
            <w:pPr>
              <w:suppressAutoHyphens/>
              <w:jc w:val="center"/>
            </w:pPr>
            <w:r w:rsidRPr="00F4116C">
              <w:t>год</w:t>
            </w:r>
          </w:p>
        </w:tc>
        <w:tc>
          <w:tcPr>
            <w:tcW w:w="1275" w:type="dxa"/>
            <w:shd w:val="clear" w:color="auto" w:fill="auto"/>
          </w:tcPr>
          <w:p w:rsidR="005308AC" w:rsidRPr="00F4116C" w:rsidRDefault="005308AC" w:rsidP="005308AC">
            <w:pPr>
              <w:suppressAutoHyphens/>
              <w:jc w:val="center"/>
            </w:pPr>
            <w:r w:rsidRPr="00F4116C">
              <w:t>20</w:t>
            </w:r>
            <w:r>
              <w:t>20</w:t>
            </w:r>
          </w:p>
          <w:p w:rsidR="005308AC" w:rsidRPr="00F4116C" w:rsidRDefault="005308AC" w:rsidP="005308AC">
            <w:pPr>
              <w:suppressAutoHyphens/>
              <w:jc w:val="center"/>
            </w:pPr>
            <w:r w:rsidRPr="00F4116C">
              <w:t>год</w:t>
            </w:r>
          </w:p>
        </w:tc>
        <w:tc>
          <w:tcPr>
            <w:tcW w:w="1276" w:type="dxa"/>
            <w:shd w:val="clear" w:color="auto" w:fill="auto"/>
          </w:tcPr>
          <w:p w:rsidR="005308AC" w:rsidRPr="00F4116C" w:rsidRDefault="005308AC" w:rsidP="005308AC">
            <w:pPr>
              <w:suppressAutoHyphens/>
              <w:jc w:val="center"/>
            </w:pPr>
            <w:r w:rsidRPr="00F4116C">
              <w:t>20</w:t>
            </w:r>
            <w:r>
              <w:t>21</w:t>
            </w:r>
          </w:p>
          <w:p w:rsidR="005308AC" w:rsidRPr="00F4116C" w:rsidRDefault="005308AC" w:rsidP="005308AC">
            <w:pPr>
              <w:suppressAutoHyphens/>
              <w:jc w:val="center"/>
            </w:pPr>
            <w:r w:rsidRPr="00F4116C">
              <w:t>год</w:t>
            </w:r>
          </w:p>
        </w:tc>
        <w:tc>
          <w:tcPr>
            <w:tcW w:w="1276" w:type="dxa"/>
            <w:shd w:val="clear" w:color="auto" w:fill="auto"/>
          </w:tcPr>
          <w:p w:rsidR="005308AC" w:rsidRPr="00525D3E" w:rsidRDefault="005308AC" w:rsidP="005308AC">
            <w:pPr>
              <w:suppressAutoHyphens/>
              <w:jc w:val="center"/>
              <w:rPr>
                <w:lang w:val="en-US"/>
              </w:rPr>
            </w:pPr>
            <w:r w:rsidRPr="00F4116C">
              <w:t>20</w:t>
            </w:r>
            <w:r>
              <w:t>2</w:t>
            </w:r>
            <w:r>
              <w:rPr>
                <w:lang w:val="en-US"/>
              </w:rPr>
              <w:t>2</w:t>
            </w:r>
          </w:p>
          <w:p w:rsidR="005308AC" w:rsidRPr="00F4116C" w:rsidRDefault="005308AC" w:rsidP="005308AC">
            <w:pPr>
              <w:suppressAutoHyphens/>
              <w:jc w:val="center"/>
            </w:pPr>
            <w:r w:rsidRPr="00F4116C">
              <w:t>год</w:t>
            </w:r>
          </w:p>
        </w:tc>
        <w:tc>
          <w:tcPr>
            <w:tcW w:w="1276" w:type="dxa"/>
          </w:tcPr>
          <w:p w:rsidR="005308AC" w:rsidRPr="00525D3E" w:rsidRDefault="005308AC" w:rsidP="00F4116C">
            <w:pPr>
              <w:suppressAutoHyphens/>
              <w:jc w:val="center"/>
              <w:rPr>
                <w:lang w:val="en-US"/>
              </w:rPr>
            </w:pPr>
            <w:r w:rsidRPr="00F4116C">
              <w:t>20</w:t>
            </w:r>
            <w:r>
              <w:t>23</w:t>
            </w:r>
          </w:p>
          <w:p w:rsidR="005308AC" w:rsidRPr="00F4116C" w:rsidRDefault="005308AC" w:rsidP="00F4116C">
            <w:pPr>
              <w:suppressAutoHyphens/>
              <w:jc w:val="center"/>
            </w:pPr>
            <w:r w:rsidRPr="00F4116C">
              <w:t>год</w:t>
            </w:r>
          </w:p>
        </w:tc>
      </w:tr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F4116C" w:rsidRDefault="005308AC" w:rsidP="00F4116C">
            <w:pPr>
              <w:suppressAutoHyphens/>
              <w:jc w:val="both"/>
            </w:pPr>
            <w:r w:rsidRPr="00F4116C">
              <w:t xml:space="preserve">Объем муниципального долга </w:t>
            </w:r>
          </w:p>
          <w:p w:rsidR="005308AC" w:rsidRPr="00F4116C" w:rsidRDefault="005308AC" w:rsidP="00F4116C">
            <w:pPr>
              <w:suppressAutoHyphens/>
              <w:jc w:val="both"/>
            </w:pPr>
            <w:r w:rsidRPr="00F4116C">
              <w:t>Таштагольского муниципального района, 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10,35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10,35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10,35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525D3E" w:rsidRDefault="005308AC" w:rsidP="005308AC">
            <w:pPr>
              <w:suppressAutoHyphens/>
              <w:jc w:val="center"/>
              <w:rPr>
                <w:lang w:val="en-US"/>
              </w:rPr>
            </w:pPr>
            <w:r>
              <w:t>10,35</w:t>
            </w:r>
          </w:p>
        </w:tc>
        <w:tc>
          <w:tcPr>
            <w:tcW w:w="1276" w:type="dxa"/>
            <w:vAlign w:val="center"/>
          </w:tcPr>
          <w:p w:rsidR="005308AC" w:rsidRPr="00525D3E" w:rsidRDefault="00EE7B13" w:rsidP="005308AC">
            <w:pPr>
              <w:suppressAutoHyphens/>
              <w:jc w:val="center"/>
              <w:rPr>
                <w:lang w:val="en-US"/>
              </w:rPr>
            </w:pPr>
            <w:r>
              <w:t>9,32</w:t>
            </w:r>
          </w:p>
        </w:tc>
      </w:tr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F4116C" w:rsidRDefault="005308AC" w:rsidP="00F4116C">
            <w:pPr>
              <w:suppressAutoHyphens/>
              <w:jc w:val="both"/>
            </w:pPr>
            <w:r w:rsidRPr="00F4116C">
              <w:t>Прирост муниципального долга, 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 w:rsidRPr="00F4116C">
              <w:t>+</w:t>
            </w:r>
            <w:r>
              <w:t>9,86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525D3E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308AC" w:rsidRPr="00525D3E" w:rsidRDefault="005308AC" w:rsidP="00F4116C">
            <w:pPr>
              <w:suppressAutoHyphens/>
              <w:jc w:val="center"/>
            </w:pPr>
            <w:r>
              <w:t>-</w:t>
            </w:r>
          </w:p>
        </w:tc>
      </w:tr>
      <w:tr w:rsidR="005308AC" w:rsidRPr="00F4116C" w:rsidTr="00F4116C">
        <w:trPr>
          <w:trHeight w:val="636"/>
        </w:trPr>
        <w:tc>
          <w:tcPr>
            <w:tcW w:w="3369" w:type="dxa"/>
            <w:shd w:val="clear" w:color="auto" w:fill="auto"/>
          </w:tcPr>
          <w:p w:rsidR="005308AC" w:rsidRPr="00F4116C" w:rsidRDefault="005308AC" w:rsidP="00F4116C">
            <w:pPr>
              <w:suppressAutoHyphens/>
              <w:jc w:val="both"/>
            </w:pPr>
            <w:r w:rsidRPr="00F4116C">
              <w:t>Темпы роста муниципального</w:t>
            </w:r>
          </w:p>
          <w:p w:rsidR="005308AC" w:rsidRPr="00F4116C" w:rsidRDefault="005308AC" w:rsidP="00F4116C">
            <w:pPr>
              <w:suppressAutoHyphens/>
              <w:jc w:val="both"/>
            </w:pPr>
            <w:r w:rsidRPr="00F4116C">
              <w:t>долга,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в 2</w:t>
            </w:r>
            <w:r w:rsidRPr="00F4116C">
              <w:t>1</w:t>
            </w:r>
            <w:r>
              <w:t>,</w:t>
            </w:r>
            <w:r w:rsidRPr="00F4116C">
              <w:t>1</w:t>
            </w:r>
            <w:r>
              <w:t xml:space="preserve"> раз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F4116C" w:rsidRDefault="005308AC" w:rsidP="005308AC">
            <w:pPr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308AC" w:rsidRPr="00F4116C" w:rsidRDefault="005308AC" w:rsidP="00793ADE">
            <w:pPr>
              <w:suppressAutoHyphens/>
              <w:jc w:val="center"/>
            </w:pPr>
            <w:r>
              <w:t>-</w:t>
            </w:r>
          </w:p>
        </w:tc>
      </w:tr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6E0C8C" w:rsidRDefault="005308AC" w:rsidP="00F4116C">
            <w:pPr>
              <w:suppressAutoHyphens/>
              <w:rPr>
                <w:highlight w:val="yellow"/>
              </w:rPr>
            </w:pPr>
            <w:r w:rsidRPr="00A74AAD">
              <w:t>Обслуживание муниципального долга,      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A74AAD" w:rsidRDefault="005308AC" w:rsidP="005308AC">
            <w:pPr>
              <w:suppressAutoHyphens/>
              <w:jc w:val="center"/>
            </w:pPr>
            <w:r w:rsidRPr="00A74AAD">
              <w:t>0,004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6E0C8C" w:rsidRDefault="005308AC" w:rsidP="005308AC">
            <w:pPr>
              <w:suppressAutoHyphens/>
              <w:jc w:val="center"/>
              <w:rPr>
                <w:highlight w:val="yellow"/>
              </w:rPr>
            </w:pPr>
            <w:r w:rsidRPr="00A74AAD">
              <w:t>0,0104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6E0C8C" w:rsidRDefault="005308AC" w:rsidP="005308AC">
            <w:pPr>
              <w:suppressAutoHyphens/>
              <w:jc w:val="center"/>
              <w:rPr>
                <w:highlight w:val="yellow"/>
              </w:rPr>
            </w:pPr>
            <w:r w:rsidRPr="00A74AAD">
              <w:t>0,0</w:t>
            </w:r>
            <w:r>
              <w:t>327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6E0C8C" w:rsidRDefault="005308AC" w:rsidP="005308AC">
            <w:pPr>
              <w:suppressAutoHyphens/>
              <w:jc w:val="center"/>
              <w:rPr>
                <w:highlight w:val="yellow"/>
              </w:rPr>
            </w:pPr>
            <w:r w:rsidRPr="00A74AAD">
              <w:t>0,0</w:t>
            </w:r>
            <w:r>
              <w:t>112</w:t>
            </w:r>
          </w:p>
        </w:tc>
        <w:tc>
          <w:tcPr>
            <w:tcW w:w="1276" w:type="dxa"/>
            <w:vAlign w:val="center"/>
          </w:tcPr>
          <w:p w:rsidR="005308AC" w:rsidRPr="006E0C8C" w:rsidRDefault="005308AC" w:rsidP="00EE7B13">
            <w:pPr>
              <w:suppressAutoHyphens/>
              <w:jc w:val="center"/>
              <w:rPr>
                <w:highlight w:val="yellow"/>
              </w:rPr>
            </w:pPr>
            <w:r w:rsidRPr="00A74AAD">
              <w:t>0,0</w:t>
            </w:r>
            <w:r>
              <w:t>1</w:t>
            </w:r>
            <w:r w:rsidR="00EE7B13">
              <w:t>0</w:t>
            </w:r>
            <w:r>
              <w:t>2</w:t>
            </w:r>
          </w:p>
        </w:tc>
      </w:tr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B35308" w:rsidRDefault="005308AC" w:rsidP="00F4116C">
            <w:pPr>
              <w:suppressAutoHyphens/>
              <w:jc w:val="both"/>
            </w:pPr>
            <w:r w:rsidRPr="00B35308">
              <w:t>Общий объем поступления налоговых, неналоговых доходов, за исключением дополнительного норматива по налогу на доходы физических лиц,  млн. рублей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 w:rsidRPr="00B35308">
              <w:t>184,47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 w:rsidRPr="00B35308">
              <w:t>217,81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313</w:t>
            </w:r>
            <w:r w:rsidRPr="00B35308">
              <w:t>,</w:t>
            </w:r>
            <w: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300,2</w:t>
            </w:r>
          </w:p>
        </w:tc>
        <w:tc>
          <w:tcPr>
            <w:tcW w:w="1276" w:type="dxa"/>
            <w:vAlign w:val="center"/>
          </w:tcPr>
          <w:p w:rsidR="005308AC" w:rsidRPr="00B35308" w:rsidRDefault="005308AC" w:rsidP="00EE7B13">
            <w:pPr>
              <w:suppressAutoHyphens/>
              <w:jc w:val="center"/>
            </w:pPr>
            <w:r>
              <w:t>3</w:t>
            </w:r>
            <w:r w:rsidR="00EE7B13">
              <w:t>58</w:t>
            </w:r>
            <w:r>
              <w:t>,</w:t>
            </w:r>
            <w:r w:rsidR="00EE7B13">
              <w:t>3</w:t>
            </w:r>
          </w:p>
        </w:tc>
      </w:tr>
      <w:tr w:rsidR="005308AC" w:rsidRPr="00F4116C" w:rsidTr="00F4116C">
        <w:tc>
          <w:tcPr>
            <w:tcW w:w="3369" w:type="dxa"/>
            <w:shd w:val="clear" w:color="auto" w:fill="auto"/>
          </w:tcPr>
          <w:p w:rsidR="005308AC" w:rsidRPr="00B35308" w:rsidRDefault="005308AC" w:rsidP="00F4116C">
            <w:pPr>
              <w:suppressAutoHyphens/>
              <w:jc w:val="both"/>
            </w:pPr>
            <w:r w:rsidRPr="00B35308">
              <w:t xml:space="preserve">Отношение объема муниципального долга к налоговым и неналоговым доходам бюджета, за исключением дополнительного норматива по </w:t>
            </w:r>
            <w:r>
              <w:t>налогу на доходы физических лиц</w:t>
            </w:r>
            <w:r w:rsidRPr="00B35308">
              <w:t>,%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5,61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4,75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3,30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8AC" w:rsidRPr="00B35308" w:rsidRDefault="005308AC" w:rsidP="005308AC">
            <w:pPr>
              <w:suppressAutoHyphens/>
              <w:jc w:val="center"/>
            </w:pPr>
            <w:r>
              <w:t>3,45</w:t>
            </w:r>
          </w:p>
        </w:tc>
        <w:tc>
          <w:tcPr>
            <w:tcW w:w="1276" w:type="dxa"/>
            <w:vAlign w:val="center"/>
          </w:tcPr>
          <w:p w:rsidR="005308AC" w:rsidRPr="00B35308" w:rsidRDefault="00EE7B13" w:rsidP="00EE7B13">
            <w:pPr>
              <w:suppressAutoHyphens/>
              <w:jc w:val="center"/>
            </w:pPr>
            <w:r>
              <w:t>2</w:t>
            </w:r>
            <w:r w:rsidR="005308AC">
              <w:t>,</w:t>
            </w:r>
            <w:r>
              <w:t>60</w:t>
            </w:r>
          </w:p>
        </w:tc>
      </w:tr>
    </w:tbl>
    <w:p w:rsidR="00F4116C" w:rsidRDefault="00F4116C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890042" w:rsidRDefault="00890042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>В течение 202</w:t>
      </w:r>
      <w:r w:rsidR="005308AC">
        <w:rPr>
          <w:rFonts w:ascii="Times New Roman" w:hAnsi="Times New Roman" w:cs="Times New Roman"/>
          <w:sz w:val="27"/>
          <w:szCs w:val="27"/>
        </w:rPr>
        <w:t>4</w:t>
      </w:r>
      <w:r w:rsidRPr="00890042">
        <w:rPr>
          <w:rFonts w:ascii="Times New Roman" w:hAnsi="Times New Roman" w:cs="Times New Roman"/>
          <w:sz w:val="27"/>
          <w:szCs w:val="27"/>
        </w:rPr>
        <w:t xml:space="preserve"> года расчеты по долговым обязательствам района</w:t>
      </w:r>
      <w:r w:rsidR="00B90517">
        <w:rPr>
          <w:rFonts w:ascii="Times New Roman" w:hAnsi="Times New Roman" w:cs="Times New Roman"/>
          <w:sz w:val="27"/>
          <w:szCs w:val="27"/>
        </w:rPr>
        <w:t xml:space="preserve"> производятся </w:t>
      </w:r>
      <w:r w:rsidRPr="00890042">
        <w:rPr>
          <w:rFonts w:ascii="Times New Roman" w:hAnsi="Times New Roman" w:cs="Times New Roman"/>
          <w:sz w:val="27"/>
          <w:szCs w:val="27"/>
        </w:rPr>
        <w:t>своевременно и в полном объеме. Возникновение просроченных</w:t>
      </w:r>
      <w:r w:rsidR="00B90517">
        <w:rPr>
          <w:rFonts w:ascii="Times New Roman" w:hAnsi="Times New Roman" w:cs="Times New Roman"/>
          <w:sz w:val="27"/>
          <w:szCs w:val="27"/>
        </w:rPr>
        <w:t xml:space="preserve"> </w:t>
      </w:r>
      <w:r w:rsidRPr="00890042">
        <w:rPr>
          <w:rFonts w:ascii="Times New Roman" w:hAnsi="Times New Roman" w:cs="Times New Roman"/>
          <w:sz w:val="27"/>
          <w:szCs w:val="27"/>
        </w:rPr>
        <w:t>долговых обязательств районом не допускается.</w:t>
      </w:r>
    </w:p>
    <w:p w:rsidR="00FD634E" w:rsidRDefault="00FD634E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FD634E" w:rsidRPr="00FD634E" w:rsidRDefault="00FD634E" w:rsidP="00FD634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890042">
        <w:rPr>
          <w:rFonts w:ascii="Times New Roman" w:hAnsi="Times New Roman" w:cs="Times New Roman"/>
          <w:sz w:val="27"/>
          <w:szCs w:val="27"/>
        </w:rPr>
        <w:t>I</w:t>
      </w:r>
      <w:r w:rsidRPr="00FD634E">
        <w:rPr>
          <w:rFonts w:ascii="Times New Roman" w:hAnsi="Times New Roman" w:cs="Times New Roman"/>
          <w:sz w:val="27"/>
          <w:szCs w:val="27"/>
        </w:rPr>
        <w:t>I</w:t>
      </w:r>
      <w:r w:rsidRPr="00890042">
        <w:rPr>
          <w:rFonts w:ascii="Times New Roman" w:hAnsi="Times New Roman" w:cs="Times New Roman"/>
          <w:sz w:val="27"/>
          <w:szCs w:val="27"/>
        </w:rPr>
        <w:t xml:space="preserve">I. </w:t>
      </w:r>
      <w:r w:rsidRPr="00FD634E">
        <w:rPr>
          <w:rFonts w:ascii="Times New Roman" w:hAnsi="Times New Roman" w:cs="Times New Roman"/>
          <w:sz w:val="27"/>
          <w:szCs w:val="27"/>
        </w:rPr>
        <w:t>Основные факторы, определяющие характер и</w:t>
      </w:r>
    </w:p>
    <w:p w:rsidR="00FD634E" w:rsidRPr="00FD634E" w:rsidRDefault="00FD634E" w:rsidP="00FD634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FD634E">
        <w:rPr>
          <w:rFonts w:ascii="Times New Roman" w:hAnsi="Times New Roman" w:cs="Times New Roman"/>
          <w:sz w:val="27"/>
          <w:szCs w:val="27"/>
        </w:rPr>
        <w:t>направления долговой политики</w:t>
      </w:r>
    </w:p>
    <w:p w:rsidR="00FD634E" w:rsidRDefault="00FD634E" w:rsidP="00FD634E">
      <w:pPr>
        <w:autoSpaceDE w:val="0"/>
        <w:autoSpaceDN w:val="0"/>
        <w:adjustRightInd w:val="0"/>
        <w:rPr>
          <w:sz w:val="26"/>
          <w:szCs w:val="26"/>
        </w:rPr>
      </w:pPr>
    </w:p>
    <w:p w:rsidR="00FD634E" w:rsidRPr="00FD634E" w:rsidRDefault="00FD634E" w:rsidP="00FD634E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FD634E">
        <w:rPr>
          <w:rFonts w:ascii="Times New Roman" w:hAnsi="Times New Roman" w:cs="Times New Roman"/>
          <w:sz w:val="27"/>
          <w:szCs w:val="27"/>
        </w:rPr>
        <w:t>Основными факторами, определяющими характер и направления долговой политики района, являются:</w:t>
      </w:r>
    </w:p>
    <w:p w:rsidR="00FD634E" w:rsidRPr="006E0C8C" w:rsidRDefault="00FD634E" w:rsidP="00FD634E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FD634E">
        <w:rPr>
          <w:rFonts w:ascii="Times New Roman" w:hAnsi="Times New Roman" w:cs="Times New Roman"/>
          <w:sz w:val="27"/>
          <w:szCs w:val="27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районного бюджета;</w:t>
      </w:r>
    </w:p>
    <w:p w:rsidR="000C1984" w:rsidRPr="000C1984" w:rsidRDefault="00FD634E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D634E">
        <w:rPr>
          <w:rFonts w:ascii="Times New Roman" w:hAnsi="Times New Roman" w:cs="Times New Roman"/>
          <w:sz w:val="27"/>
          <w:szCs w:val="27"/>
        </w:rPr>
        <w:t xml:space="preserve">рост расходных обязательств муниципального образования </w:t>
      </w:r>
      <w:r w:rsidR="000C1984">
        <w:rPr>
          <w:rFonts w:ascii="Times New Roman" w:hAnsi="Times New Roman" w:cs="Times New Roman"/>
          <w:sz w:val="27"/>
          <w:szCs w:val="27"/>
        </w:rPr>
        <w:t>«Таштагольский муниципальный район»</w:t>
      </w:r>
      <w:r w:rsidRPr="00FD634E">
        <w:rPr>
          <w:rFonts w:ascii="Times New Roman" w:hAnsi="Times New Roman" w:cs="Times New Roman"/>
          <w:sz w:val="27"/>
          <w:szCs w:val="27"/>
        </w:rPr>
        <w:t xml:space="preserve"> вследствие принятия Указа Пре</w:t>
      </w:r>
      <w:r w:rsidR="000C1984">
        <w:rPr>
          <w:rFonts w:ascii="Times New Roman" w:hAnsi="Times New Roman" w:cs="Times New Roman"/>
          <w:sz w:val="27"/>
          <w:szCs w:val="27"/>
        </w:rPr>
        <w:t>зидента Российской Федерации от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t>7 мая 2018 года № 204 «О национальных целях и стратегических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t>задачах развития Российской Федерации на период до 2024 года», от 21 июля 2020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t>года № 474 « О национальных целях развития Российской Федерации на период до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t>2030 года»;</w:t>
      </w:r>
      <w:proofErr w:type="gramEnd"/>
    </w:p>
    <w:p w:rsidR="00FD634E" w:rsidRDefault="00FD634E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FD634E">
        <w:rPr>
          <w:rFonts w:ascii="Times New Roman" w:hAnsi="Times New Roman" w:cs="Times New Roman"/>
          <w:sz w:val="27"/>
          <w:szCs w:val="27"/>
        </w:rPr>
        <w:t>необходимость ежегодной индексации расходов районного бюджета на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t>выплату заработной платы работникам бюджетной сферы и оплату коммунальных</w:t>
      </w:r>
      <w:r w:rsidR="000C1984" w:rsidRPr="000C1984">
        <w:rPr>
          <w:rFonts w:ascii="Times New Roman" w:hAnsi="Times New Roman" w:cs="Times New Roman"/>
          <w:sz w:val="27"/>
          <w:szCs w:val="27"/>
        </w:rPr>
        <w:t xml:space="preserve"> </w:t>
      </w:r>
      <w:r w:rsidRPr="00FD634E">
        <w:rPr>
          <w:rFonts w:ascii="Times New Roman" w:hAnsi="Times New Roman" w:cs="Times New Roman"/>
          <w:sz w:val="27"/>
          <w:szCs w:val="27"/>
        </w:rPr>
        <w:lastRenderedPageBreak/>
        <w:t>услуг бюджетными учреждениями.</w:t>
      </w:r>
    </w:p>
    <w:p w:rsidR="00B90517" w:rsidRDefault="00B90517" w:rsidP="00B90517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0C1984" w:rsidRPr="000C1984" w:rsidRDefault="000C1984" w:rsidP="000C1984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IV. Цели и задачи долговой политики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68"/>
        <w:jc w:val="both"/>
        <w:rPr>
          <w:sz w:val="27"/>
          <w:szCs w:val="27"/>
        </w:rPr>
      </w:pP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Целями долговой политики являются: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- обеспечение сбалансированности и долговой устойчивости местного бюджета;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- минимизация расходов на обслуживание муниципального долга;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- обеспечение исполнения долговых обязательств в полном объеме и в установленные сроки.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Задачи, которые необходимо решить при реализации долговой политики: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- осуществление муниципальных заимствований в соответствии с реальными потребностями местного бюджета;</w:t>
      </w:r>
    </w:p>
    <w:p w:rsidR="000C1984" w:rsidRP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0C1984">
        <w:rPr>
          <w:rFonts w:ascii="Times New Roman" w:hAnsi="Times New Roman" w:cs="Times New Roman"/>
          <w:sz w:val="27"/>
          <w:szCs w:val="27"/>
        </w:rPr>
        <w:t>- 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0C1984">
        <w:rPr>
          <w:rFonts w:ascii="Times New Roman" w:hAnsi="Times New Roman" w:cs="Times New Roman"/>
          <w:sz w:val="27"/>
          <w:szCs w:val="27"/>
        </w:rPr>
        <w:t xml:space="preserve">безоговорочное соблюдение ограничений, установленных Бюджетным кодексом Российской Федерации. </w:t>
      </w:r>
    </w:p>
    <w:p w:rsidR="000C1984" w:rsidRDefault="000C1984" w:rsidP="000C1984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0C1984" w:rsidRPr="000C1984" w:rsidRDefault="000C1984" w:rsidP="000C198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0C1984">
        <w:rPr>
          <w:b/>
          <w:bCs/>
          <w:sz w:val="27"/>
          <w:szCs w:val="27"/>
        </w:rPr>
        <w:t>V. Инструменты реализации долговой политики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  <w:szCs w:val="27"/>
        </w:rPr>
      </w:pPr>
    </w:p>
    <w:p w:rsidR="008D05C6" w:rsidRP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 w:rsidRPr="008D05C6">
        <w:rPr>
          <w:rFonts w:ascii="Times New Roman" w:hAnsi="Times New Roman" w:cs="Times New Roman"/>
          <w:sz w:val="27"/>
          <w:szCs w:val="27"/>
        </w:rPr>
        <w:t>Инструментами реализации долговой политики являются:</w:t>
      </w:r>
    </w:p>
    <w:p w:rsidR="008D05C6" w:rsidRP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обеспечение оптимальной долговой нагрузки;</w:t>
      </w:r>
    </w:p>
    <w:p w:rsidR="008D05C6" w:rsidRP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проведение реструктуризации долговых обязательств района в целях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8D05C6">
        <w:rPr>
          <w:rFonts w:ascii="Times New Roman" w:hAnsi="Times New Roman" w:cs="Times New Roman"/>
          <w:sz w:val="27"/>
          <w:szCs w:val="27"/>
        </w:rPr>
        <w:t>сокращения расходов на обслуживание муниципального долга района;</w:t>
      </w:r>
    </w:p>
    <w:p w:rsidR="008D05C6" w:rsidRP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обеспечение возможности привлечения в районный бюджет бюджетных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кредитов;</w:t>
      </w:r>
    </w:p>
    <w:p w:rsid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обеспечение своевременного исполнения долговых обязательств района;</w:t>
      </w:r>
    </w:p>
    <w:p w:rsid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равномерное распределение долговой нагрузки на районный бюджет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связанной с ежегодным погашением долговых обязательств района;</w:t>
      </w:r>
    </w:p>
    <w:p w:rsid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недопущение принятия новых расходных обязательств, не обеспеченных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стабильными источниками доходов;</w:t>
      </w:r>
    </w:p>
    <w:p w:rsid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>осуществление мониторинга соответствия параметров 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долга района ограничениям, установленным бюджетным законодательством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Российской Федерации, и условиям соглашени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8D05C6">
        <w:rPr>
          <w:rFonts w:ascii="Times New Roman" w:hAnsi="Times New Roman" w:cs="Times New Roman"/>
          <w:sz w:val="27"/>
          <w:szCs w:val="27"/>
        </w:rPr>
        <w:t xml:space="preserve"> о реструктуризации, проведенной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в 2020 году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 xml:space="preserve">обязательствам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«Таштагольский муниципальный район»  </w:t>
      </w:r>
      <w:r w:rsidRPr="008D05C6">
        <w:rPr>
          <w:rFonts w:ascii="Times New Roman" w:hAnsi="Times New Roman" w:cs="Times New Roman"/>
          <w:sz w:val="27"/>
          <w:szCs w:val="27"/>
        </w:rPr>
        <w:t xml:space="preserve">перед Министерством </w:t>
      </w:r>
      <w:r>
        <w:rPr>
          <w:rFonts w:ascii="Times New Roman" w:hAnsi="Times New Roman" w:cs="Times New Roman"/>
          <w:sz w:val="27"/>
          <w:szCs w:val="27"/>
        </w:rPr>
        <w:t>ф</w:t>
      </w:r>
      <w:r w:rsidRPr="008D05C6">
        <w:rPr>
          <w:rFonts w:ascii="Times New Roman" w:hAnsi="Times New Roman" w:cs="Times New Roman"/>
          <w:sz w:val="27"/>
          <w:szCs w:val="27"/>
        </w:rPr>
        <w:t xml:space="preserve">инансов </w:t>
      </w:r>
      <w:r>
        <w:rPr>
          <w:rFonts w:ascii="Times New Roman" w:hAnsi="Times New Roman" w:cs="Times New Roman"/>
          <w:sz w:val="27"/>
          <w:szCs w:val="27"/>
        </w:rPr>
        <w:t xml:space="preserve">Кузбасса </w:t>
      </w:r>
      <w:r w:rsidRPr="008D05C6">
        <w:rPr>
          <w:rFonts w:ascii="Times New Roman" w:hAnsi="Times New Roman" w:cs="Times New Roman"/>
          <w:sz w:val="27"/>
          <w:szCs w:val="27"/>
        </w:rPr>
        <w:t>по бюджетным кредитам;</w:t>
      </w:r>
    </w:p>
    <w:p w:rsidR="000C1984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D05C6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proofErr w:type="gramStart"/>
      <w:r w:rsidRPr="008D05C6">
        <w:rPr>
          <w:rFonts w:ascii="Times New Roman" w:hAnsi="Times New Roman" w:cs="Times New Roman"/>
          <w:sz w:val="27"/>
          <w:szCs w:val="27"/>
        </w:rPr>
        <w:t>мониторинга соответствия размера дефицита районного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бюджета</w:t>
      </w:r>
      <w:proofErr w:type="gramEnd"/>
      <w:r w:rsidRPr="008D05C6">
        <w:rPr>
          <w:rFonts w:ascii="Times New Roman" w:hAnsi="Times New Roman" w:cs="Times New Roman"/>
          <w:sz w:val="27"/>
          <w:szCs w:val="27"/>
        </w:rPr>
        <w:t xml:space="preserve"> ограничениям, установленным бюджетным законодательством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D05C6">
        <w:rPr>
          <w:rFonts w:ascii="Times New Roman" w:hAnsi="Times New Roman" w:cs="Times New Roman"/>
          <w:sz w:val="27"/>
          <w:szCs w:val="27"/>
        </w:rPr>
        <w:t>Российской Федерации.</w:t>
      </w:r>
    </w:p>
    <w:p w:rsidR="008D05C6" w:rsidRPr="008D05C6" w:rsidRDefault="008D05C6" w:rsidP="008D05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</w:p>
    <w:p w:rsidR="000C1984" w:rsidRPr="000C1984" w:rsidRDefault="000C1984" w:rsidP="000C198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0C1984">
        <w:rPr>
          <w:b/>
          <w:bCs/>
          <w:sz w:val="27"/>
          <w:szCs w:val="27"/>
        </w:rPr>
        <w:t>VI. Анализ рисков для бюджета, возникающих в процессе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C1984">
        <w:rPr>
          <w:b/>
          <w:bCs/>
          <w:sz w:val="27"/>
          <w:szCs w:val="27"/>
        </w:rPr>
        <w:t>управления муниципальным долгом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7"/>
          <w:szCs w:val="27"/>
        </w:rPr>
      </w:pPr>
    </w:p>
    <w:p w:rsidR="008D05C6" w:rsidRDefault="000C1984" w:rsidP="008D05C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Основными рисками при управлении муниципальным долгом являются:</w:t>
      </w:r>
      <w:r w:rsidR="008D05C6">
        <w:rPr>
          <w:sz w:val="27"/>
          <w:szCs w:val="27"/>
        </w:rPr>
        <w:t xml:space="preserve"> </w:t>
      </w:r>
    </w:p>
    <w:p w:rsidR="000C1984" w:rsidRPr="000C1984" w:rsidRDefault="000C1984" w:rsidP="008D05C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риск не</w:t>
      </w:r>
      <w:r w:rsidR="008D05C6">
        <w:rPr>
          <w:sz w:val="27"/>
          <w:szCs w:val="27"/>
        </w:rPr>
        <w:t xml:space="preserve"> </w:t>
      </w:r>
      <w:r w:rsidRPr="000C1984">
        <w:rPr>
          <w:sz w:val="27"/>
          <w:szCs w:val="27"/>
        </w:rPr>
        <w:t>достижения планируемых объемов поступлений доходов местного бюджета - недопоступление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 xml:space="preserve">процентный риск - вероятность увеличения суммы расходов местного бюджета </w:t>
      </w:r>
      <w:r w:rsidRPr="000C1984">
        <w:rPr>
          <w:sz w:val="27"/>
          <w:szCs w:val="27"/>
        </w:rPr>
        <w:lastRenderedPageBreak/>
        <w:t>на обслуживание муниципального долга вследствие увеличения процентных ставок;</w:t>
      </w:r>
    </w:p>
    <w:p w:rsidR="000C1984" w:rsidRPr="000C1984" w:rsidRDefault="008D05C6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C1984" w:rsidRPr="000C1984">
        <w:rPr>
          <w:sz w:val="27"/>
          <w:szCs w:val="27"/>
        </w:rPr>
        <w:t>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риск ликвидности - отсутствие на едином счете местного бюджета необходимых сре</w:t>
      </w:r>
      <w:proofErr w:type="gramStart"/>
      <w:r w:rsidRPr="000C1984">
        <w:rPr>
          <w:sz w:val="27"/>
          <w:szCs w:val="27"/>
        </w:rPr>
        <w:t>дств дл</w:t>
      </w:r>
      <w:proofErr w:type="gramEnd"/>
      <w:r w:rsidRPr="000C1984">
        <w:rPr>
          <w:sz w:val="27"/>
          <w:szCs w:val="27"/>
        </w:rPr>
        <w:t>я полного исполнения расходных и долговых обязательств муниципального образования в срок.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достоверное прогнозирование доходов местного бюджета и поступлений по источникам финансирования дефицита бюджета;</w:t>
      </w:r>
    </w:p>
    <w:p w:rsidR="000C1984" w:rsidRP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>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:rsidR="000C1984" w:rsidRDefault="000C1984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1984">
        <w:rPr>
          <w:sz w:val="27"/>
          <w:szCs w:val="27"/>
        </w:rPr>
        <w:t xml:space="preserve">принятие взвешенных и экономически обоснованных решений по принятию долговых обязательств. </w:t>
      </w:r>
    </w:p>
    <w:p w:rsidR="00931A4A" w:rsidRPr="000C1984" w:rsidRDefault="00931A4A" w:rsidP="000C198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31A4A" w:rsidRPr="00931A4A" w:rsidRDefault="00931A4A" w:rsidP="00931A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C1984">
        <w:rPr>
          <w:b/>
          <w:bCs/>
          <w:sz w:val="27"/>
          <w:szCs w:val="27"/>
        </w:rPr>
        <w:t>VI</w:t>
      </w:r>
      <w:r>
        <w:rPr>
          <w:b/>
          <w:bCs/>
          <w:sz w:val="27"/>
          <w:szCs w:val="27"/>
          <w:lang w:val="en-US"/>
        </w:rPr>
        <w:t>I</w:t>
      </w:r>
      <w:r w:rsidRPr="000C1984">
        <w:rPr>
          <w:b/>
          <w:bCs/>
          <w:sz w:val="27"/>
          <w:szCs w:val="27"/>
        </w:rPr>
        <w:t>.</w:t>
      </w:r>
      <w:r w:rsidRPr="00931A4A">
        <w:rPr>
          <w:b/>
          <w:bCs/>
          <w:sz w:val="28"/>
          <w:szCs w:val="28"/>
        </w:rPr>
        <w:t xml:space="preserve"> Сведения о показателях (индикаторах) реализации</w:t>
      </w:r>
    </w:p>
    <w:p w:rsidR="00931A4A" w:rsidRPr="00931A4A" w:rsidRDefault="00931A4A" w:rsidP="00931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31A4A">
        <w:rPr>
          <w:b/>
          <w:bCs/>
          <w:sz w:val="28"/>
          <w:szCs w:val="28"/>
        </w:rPr>
        <w:t xml:space="preserve">мероприятий долговой политики </w:t>
      </w:r>
      <w:r>
        <w:rPr>
          <w:b/>
          <w:bCs/>
          <w:sz w:val="28"/>
          <w:szCs w:val="28"/>
        </w:rPr>
        <w:t>района</w:t>
      </w:r>
    </w:p>
    <w:p w:rsidR="00931A4A" w:rsidRPr="00931A4A" w:rsidRDefault="00931A4A" w:rsidP="00931A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A4A" w:rsidRPr="00931A4A" w:rsidRDefault="00931A4A" w:rsidP="00931A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1A4A">
        <w:rPr>
          <w:sz w:val="28"/>
          <w:szCs w:val="28"/>
        </w:rPr>
        <w:t xml:space="preserve">Основные мероприятия долговой политики </w:t>
      </w:r>
      <w:r>
        <w:rPr>
          <w:sz w:val="28"/>
          <w:szCs w:val="28"/>
        </w:rPr>
        <w:t>района</w:t>
      </w:r>
      <w:r w:rsidRPr="00931A4A">
        <w:rPr>
          <w:sz w:val="28"/>
          <w:szCs w:val="28"/>
        </w:rPr>
        <w:t xml:space="preserve"> направлены на реализацию поставленных целей и задач долговой политики </w:t>
      </w:r>
      <w:r w:rsidR="004C6CD1">
        <w:rPr>
          <w:sz w:val="28"/>
          <w:szCs w:val="28"/>
        </w:rPr>
        <w:t>района</w:t>
      </w:r>
      <w:r w:rsidRPr="00931A4A">
        <w:rPr>
          <w:sz w:val="28"/>
          <w:szCs w:val="28"/>
        </w:rPr>
        <w:t xml:space="preserve"> в целом и позволят обеспечить достижение показателей (индикаторов), приведенных в таблице.</w:t>
      </w:r>
    </w:p>
    <w:p w:rsidR="00931A4A" w:rsidRPr="00931A4A" w:rsidRDefault="00931A4A" w:rsidP="00931A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1275"/>
        <w:gridCol w:w="1276"/>
        <w:gridCol w:w="1276"/>
      </w:tblGrid>
      <w:tr w:rsidR="00931A4A" w:rsidRPr="006E0C8C" w:rsidTr="00931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 xml:space="preserve">N </w:t>
            </w:r>
            <w:proofErr w:type="gramStart"/>
            <w:r w:rsidRPr="0037408A">
              <w:t>п</w:t>
            </w:r>
            <w:proofErr w:type="gramEnd"/>
            <w:r w:rsidRPr="0037408A"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Наименование показателя (индикатора)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EE7B13">
            <w:pPr>
              <w:autoSpaceDE w:val="0"/>
              <w:autoSpaceDN w:val="0"/>
              <w:adjustRightInd w:val="0"/>
              <w:jc w:val="center"/>
            </w:pPr>
            <w:r w:rsidRPr="0037408A">
              <w:t>202</w:t>
            </w:r>
            <w:r w:rsidR="00EE7B13">
              <w:t>5</w:t>
            </w:r>
            <w:r w:rsidRPr="0037408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EE7B13">
            <w:pPr>
              <w:autoSpaceDE w:val="0"/>
              <w:autoSpaceDN w:val="0"/>
              <w:adjustRightInd w:val="0"/>
              <w:jc w:val="center"/>
            </w:pPr>
            <w:r w:rsidRPr="0037408A">
              <w:t>202</w:t>
            </w:r>
            <w:r w:rsidR="00EE7B13">
              <w:t>6</w:t>
            </w:r>
            <w:r w:rsidRPr="0037408A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EE7B13">
            <w:pPr>
              <w:autoSpaceDE w:val="0"/>
              <w:autoSpaceDN w:val="0"/>
              <w:adjustRightInd w:val="0"/>
              <w:jc w:val="center"/>
            </w:pPr>
            <w:r w:rsidRPr="0037408A">
              <w:t>202</w:t>
            </w:r>
            <w:r w:rsidR="00EE7B13">
              <w:t>7</w:t>
            </w:r>
            <w:r w:rsidRPr="0037408A">
              <w:t xml:space="preserve"> год</w:t>
            </w:r>
          </w:p>
        </w:tc>
      </w:tr>
      <w:tr w:rsidR="00931A4A" w:rsidRPr="006E0C8C" w:rsidTr="0037408A">
        <w:trPr>
          <w:trHeight w:val="2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5</w:t>
            </w:r>
          </w:p>
        </w:tc>
      </w:tr>
      <w:tr w:rsidR="00931A4A" w:rsidRPr="006E0C8C" w:rsidTr="00931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</w:pPr>
            <w:r w:rsidRPr="0037408A">
              <w:t>Отношение объема муниципального долга к налоговым и неналоговым доходам бюджета района без учета дополнительного норматива отчислений по налогу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50%</w:t>
            </w:r>
          </w:p>
        </w:tc>
      </w:tr>
      <w:tr w:rsidR="00931A4A" w:rsidRPr="006E0C8C" w:rsidTr="00931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</w:pPr>
            <w:r w:rsidRPr="0037408A">
              <w:t>Отношение объема дефицита бюджета района к общему годовому объему доходов бюджета района без учета объемов безвозмездных поступлений и дополнительного норматива отчислений по налогу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F32896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5</w:t>
            </w:r>
            <w:r w:rsidRPr="0037408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F32896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5</w:t>
            </w:r>
            <w:r w:rsidRPr="0037408A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F32896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5</w:t>
            </w:r>
            <w:r w:rsidRPr="0037408A">
              <w:t>%</w:t>
            </w:r>
          </w:p>
        </w:tc>
      </w:tr>
      <w:tr w:rsidR="00931A4A" w:rsidRPr="00931A4A" w:rsidTr="0037408A">
        <w:trPr>
          <w:trHeight w:val="13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</w:pPr>
            <w:r w:rsidRPr="0037408A">
              <w:t>Отношение объема расходов на обслуживание муниципального долга к общему объему расходов бюджета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1</w:t>
            </w:r>
            <w:r w:rsidRPr="0037408A"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1</w:t>
            </w:r>
            <w:r w:rsidRPr="0037408A"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4A" w:rsidRPr="0037408A" w:rsidRDefault="00931A4A" w:rsidP="00931A4A">
            <w:pPr>
              <w:autoSpaceDE w:val="0"/>
              <w:autoSpaceDN w:val="0"/>
              <w:adjustRightInd w:val="0"/>
              <w:jc w:val="center"/>
            </w:pPr>
            <w:r w:rsidRPr="0037408A">
              <w:t>&lt;=</w:t>
            </w:r>
            <w:r w:rsidR="00F32896" w:rsidRPr="0037408A">
              <w:rPr>
                <w:lang w:val="en-US"/>
              </w:rPr>
              <w:t>1</w:t>
            </w:r>
            <w:r w:rsidRPr="0037408A">
              <w:t>5%</w:t>
            </w:r>
          </w:p>
        </w:tc>
      </w:tr>
    </w:tbl>
    <w:p w:rsidR="00B90517" w:rsidRPr="0037408A" w:rsidRDefault="00B90517" w:rsidP="000C1984">
      <w:pPr>
        <w:autoSpaceDE w:val="0"/>
        <w:autoSpaceDN w:val="0"/>
        <w:adjustRightInd w:val="0"/>
        <w:rPr>
          <w:sz w:val="27"/>
          <w:szCs w:val="27"/>
          <w:lang w:val="en-US"/>
        </w:rPr>
      </w:pPr>
    </w:p>
    <w:sectPr w:rsidR="00B90517" w:rsidRPr="0037408A" w:rsidSect="0037408A">
      <w:pgSz w:w="11906" w:h="16838"/>
      <w:pgMar w:top="993" w:right="991" w:bottom="568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AC" w:rsidRDefault="005308AC" w:rsidP="0037408A">
      <w:r>
        <w:separator/>
      </w:r>
    </w:p>
  </w:endnote>
  <w:endnote w:type="continuationSeparator" w:id="0">
    <w:p w:rsidR="005308AC" w:rsidRDefault="005308AC" w:rsidP="003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AC" w:rsidRDefault="005308AC" w:rsidP="0037408A">
      <w:r>
        <w:separator/>
      </w:r>
    </w:p>
  </w:footnote>
  <w:footnote w:type="continuationSeparator" w:id="0">
    <w:p w:rsidR="005308AC" w:rsidRDefault="005308AC" w:rsidP="0037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7E3"/>
    <w:multiLevelType w:val="hybridMultilevel"/>
    <w:tmpl w:val="BCA69BF4"/>
    <w:lvl w:ilvl="0" w:tplc="488EBD0A">
      <w:start w:val="1"/>
      <w:numFmt w:val="decimal"/>
      <w:lvlText w:val="%1."/>
      <w:lvlJc w:val="left"/>
      <w:pPr>
        <w:ind w:left="2076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50CF2"/>
    <w:multiLevelType w:val="hybridMultilevel"/>
    <w:tmpl w:val="554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8052C"/>
    <w:multiLevelType w:val="hybridMultilevel"/>
    <w:tmpl w:val="14B4BC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820E67"/>
    <w:multiLevelType w:val="hybridMultilevel"/>
    <w:tmpl w:val="0DEEB5FE"/>
    <w:lvl w:ilvl="0" w:tplc="1C58C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5F07E5"/>
    <w:multiLevelType w:val="hybridMultilevel"/>
    <w:tmpl w:val="E99237B0"/>
    <w:lvl w:ilvl="0" w:tplc="A4E0C70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91CCE60E">
      <w:numFmt w:val="none"/>
      <w:lvlText w:val=""/>
      <w:lvlJc w:val="left"/>
      <w:pPr>
        <w:tabs>
          <w:tab w:val="num" w:pos="360"/>
        </w:tabs>
      </w:pPr>
    </w:lvl>
    <w:lvl w:ilvl="2" w:tplc="5394DB46">
      <w:numFmt w:val="none"/>
      <w:lvlText w:val=""/>
      <w:lvlJc w:val="left"/>
      <w:pPr>
        <w:tabs>
          <w:tab w:val="num" w:pos="360"/>
        </w:tabs>
      </w:pPr>
    </w:lvl>
    <w:lvl w:ilvl="3" w:tplc="BB122118">
      <w:numFmt w:val="none"/>
      <w:lvlText w:val=""/>
      <w:lvlJc w:val="left"/>
      <w:pPr>
        <w:tabs>
          <w:tab w:val="num" w:pos="360"/>
        </w:tabs>
      </w:pPr>
    </w:lvl>
    <w:lvl w:ilvl="4" w:tplc="DB7EEFEC">
      <w:numFmt w:val="none"/>
      <w:lvlText w:val=""/>
      <w:lvlJc w:val="left"/>
      <w:pPr>
        <w:tabs>
          <w:tab w:val="num" w:pos="360"/>
        </w:tabs>
      </w:pPr>
    </w:lvl>
    <w:lvl w:ilvl="5" w:tplc="ECECD932">
      <w:numFmt w:val="none"/>
      <w:lvlText w:val=""/>
      <w:lvlJc w:val="left"/>
      <w:pPr>
        <w:tabs>
          <w:tab w:val="num" w:pos="360"/>
        </w:tabs>
      </w:pPr>
    </w:lvl>
    <w:lvl w:ilvl="6" w:tplc="D72A1BCA">
      <w:numFmt w:val="none"/>
      <w:lvlText w:val=""/>
      <w:lvlJc w:val="left"/>
      <w:pPr>
        <w:tabs>
          <w:tab w:val="num" w:pos="360"/>
        </w:tabs>
      </w:pPr>
    </w:lvl>
    <w:lvl w:ilvl="7" w:tplc="784C87DA">
      <w:numFmt w:val="none"/>
      <w:lvlText w:val=""/>
      <w:lvlJc w:val="left"/>
      <w:pPr>
        <w:tabs>
          <w:tab w:val="num" w:pos="360"/>
        </w:tabs>
      </w:pPr>
    </w:lvl>
    <w:lvl w:ilvl="8" w:tplc="4778520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BD765BD"/>
    <w:multiLevelType w:val="hybridMultilevel"/>
    <w:tmpl w:val="C6648246"/>
    <w:lvl w:ilvl="0" w:tplc="8F1813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4A66710"/>
    <w:multiLevelType w:val="hybridMultilevel"/>
    <w:tmpl w:val="B04CEB52"/>
    <w:lvl w:ilvl="0" w:tplc="D4A67D0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5C5"/>
    <w:rsid w:val="00000DF2"/>
    <w:rsid w:val="00006819"/>
    <w:rsid w:val="000100CE"/>
    <w:rsid w:val="00020E99"/>
    <w:rsid w:val="00025EF3"/>
    <w:rsid w:val="00033F70"/>
    <w:rsid w:val="00041E25"/>
    <w:rsid w:val="00042C4E"/>
    <w:rsid w:val="00044B45"/>
    <w:rsid w:val="00046639"/>
    <w:rsid w:val="000511ED"/>
    <w:rsid w:val="00056FEC"/>
    <w:rsid w:val="00061BE7"/>
    <w:rsid w:val="0006440D"/>
    <w:rsid w:val="000723DD"/>
    <w:rsid w:val="00073653"/>
    <w:rsid w:val="000821C1"/>
    <w:rsid w:val="000852C4"/>
    <w:rsid w:val="00087E10"/>
    <w:rsid w:val="00090D81"/>
    <w:rsid w:val="000938FF"/>
    <w:rsid w:val="000A2CB4"/>
    <w:rsid w:val="000A338C"/>
    <w:rsid w:val="000A3853"/>
    <w:rsid w:val="000A6492"/>
    <w:rsid w:val="000A6535"/>
    <w:rsid w:val="000A679D"/>
    <w:rsid w:val="000B2411"/>
    <w:rsid w:val="000B2A72"/>
    <w:rsid w:val="000B2F20"/>
    <w:rsid w:val="000B302F"/>
    <w:rsid w:val="000B4586"/>
    <w:rsid w:val="000B519C"/>
    <w:rsid w:val="000C1984"/>
    <w:rsid w:val="000C28CA"/>
    <w:rsid w:val="000C50C9"/>
    <w:rsid w:val="000C648F"/>
    <w:rsid w:val="000D41A4"/>
    <w:rsid w:val="000D5B36"/>
    <w:rsid w:val="000E18F9"/>
    <w:rsid w:val="000E5059"/>
    <w:rsid w:val="000F038C"/>
    <w:rsid w:val="000F29B7"/>
    <w:rsid w:val="000F4DD8"/>
    <w:rsid w:val="000F6FF6"/>
    <w:rsid w:val="00111B08"/>
    <w:rsid w:val="00113433"/>
    <w:rsid w:val="0012033A"/>
    <w:rsid w:val="001242B8"/>
    <w:rsid w:val="00125A69"/>
    <w:rsid w:val="00131003"/>
    <w:rsid w:val="001355DB"/>
    <w:rsid w:val="0013744F"/>
    <w:rsid w:val="001421E2"/>
    <w:rsid w:val="00143A19"/>
    <w:rsid w:val="001452BA"/>
    <w:rsid w:val="00145892"/>
    <w:rsid w:val="00151584"/>
    <w:rsid w:val="001530A0"/>
    <w:rsid w:val="00162ADD"/>
    <w:rsid w:val="00163BDA"/>
    <w:rsid w:val="001706CD"/>
    <w:rsid w:val="00175A81"/>
    <w:rsid w:val="0017705D"/>
    <w:rsid w:val="00182674"/>
    <w:rsid w:val="00183324"/>
    <w:rsid w:val="0018442C"/>
    <w:rsid w:val="00187126"/>
    <w:rsid w:val="00192875"/>
    <w:rsid w:val="001933D9"/>
    <w:rsid w:val="00194B9F"/>
    <w:rsid w:val="001960B2"/>
    <w:rsid w:val="00197DC7"/>
    <w:rsid w:val="001B4348"/>
    <w:rsid w:val="001C0B7F"/>
    <w:rsid w:val="001D08CA"/>
    <w:rsid w:val="001E33BC"/>
    <w:rsid w:val="001E771A"/>
    <w:rsid w:val="001E7C51"/>
    <w:rsid w:val="001F0B4E"/>
    <w:rsid w:val="001F3C7F"/>
    <w:rsid w:val="001F6708"/>
    <w:rsid w:val="001F7525"/>
    <w:rsid w:val="0020098F"/>
    <w:rsid w:val="00200C77"/>
    <w:rsid w:val="002041E6"/>
    <w:rsid w:val="0020430B"/>
    <w:rsid w:val="00205C2C"/>
    <w:rsid w:val="00205E40"/>
    <w:rsid w:val="0021020B"/>
    <w:rsid w:val="00214147"/>
    <w:rsid w:val="00214160"/>
    <w:rsid w:val="002142D3"/>
    <w:rsid w:val="00215E29"/>
    <w:rsid w:val="00222894"/>
    <w:rsid w:val="00222F11"/>
    <w:rsid w:val="00230F8C"/>
    <w:rsid w:val="00234C00"/>
    <w:rsid w:val="0023533F"/>
    <w:rsid w:val="00242E35"/>
    <w:rsid w:val="00243A84"/>
    <w:rsid w:val="0024415B"/>
    <w:rsid w:val="0024415D"/>
    <w:rsid w:val="00245EA3"/>
    <w:rsid w:val="002512E0"/>
    <w:rsid w:val="002512EB"/>
    <w:rsid w:val="002614D0"/>
    <w:rsid w:val="002629D5"/>
    <w:rsid w:val="00267E28"/>
    <w:rsid w:val="002700CD"/>
    <w:rsid w:val="0027059C"/>
    <w:rsid w:val="0027062D"/>
    <w:rsid w:val="00270633"/>
    <w:rsid w:val="00270B25"/>
    <w:rsid w:val="00283541"/>
    <w:rsid w:val="0028721E"/>
    <w:rsid w:val="00287ED6"/>
    <w:rsid w:val="00290660"/>
    <w:rsid w:val="002911D5"/>
    <w:rsid w:val="002913CD"/>
    <w:rsid w:val="0029203D"/>
    <w:rsid w:val="002A0AE1"/>
    <w:rsid w:val="002A70F3"/>
    <w:rsid w:val="002B05B6"/>
    <w:rsid w:val="002B2936"/>
    <w:rsid w:val="002B7BB5"/>
    <w:rsid w:val="002C1386"/>
    <w:rsid w:val="002C17CC"/>
    <w:rsid w:val="002C437E"/>
    <w:rsid w:val="002C4936"/>
    <w:rsid w:val="002D0B06"/>
    <w:rsid w:val="002D1A90"/>
    <w:rsid w:val="002D420A"/>
    <w:rsid w:val="002D500D"/>
    <w:rsid w:val="002D747A"/>
    <w:rsid w:val="002E44A7"/>
    <w:rsid w:val="002F0989"/>
    <w:rsid w:val="002F1E37"/>
    <w:rsid w:val="00303EA2"/>
    <w:rsid w:val="00304E57"/>
    <w:rsid w:val="0031047C"/>
    <w:rsid w:val="00315B6C"/>
    <w:rsid w:val="00325E89"/>
    <w:rsid w:val="00332521"/>
    <w:rsid w:val="00343192"/>
    <w:rsid w:val="00345ACC"/>
    <w:rsid w:val="00352B0C"/>
    <w:rsid w:val="00356C1F"/>
    <w:rsid w:val="003576F4"/>
    <w:rsid w:val="00361E5C"/>
    <w:rsid w:val="0037408A"/>
    <w:rsid w:val="003823F1"/>
    <w:rsid w:val="00382D15"/>
    <w:rsid w:val="00382D3B"/>
    <w:rsid w:val="00393349"/>
    <w:rsid w:val="00394256"/>
    <w:rsid w:val="003A12D8"/>
    <w:rsid w:val="003A287D"/>
    <w:rsid w:val="003C456C"/>
    <w:rsid w:val="003C64C0"/>
    <w:rsid w:val="003D2032"/>
    <w:rsid w:val="003D5A22"/>
    <w:rsid w:val="003D5AF3"/>
    <w:rsid w:val="003D68AC"/>
    <w:rsid w:val="003E1488"/>
    <w:rsid w:val="003F1371"/>
    <w:rsid w:val="003F1760"/>
    <w:rsid w:val="003F4BAF"/>
    <w:rsid w:val="004007A6"/>
    <w:rsid w:val="00402960"/>
    <w:rsid w:val="0040582B"/>
    <w:rsid w:val="00412434"/>
    <w:rsid w:val="004132EA"/>
    <w:rsid w:val="0041367A"/>
    <w:rsid w:val="00414C55"/>
    <w:rsid w:val="00416242"/>
    <w:rsid w:val="00420F41"/>
    <w:rsid w:val="00421145"/>
    <w:rsid w:val="00425A97"/>
    <w:rsid w:val="0043091B"/>
    <w:rsid w:val="0043398D"/>
    <w:rsid w:val="00434439"/>
    <w:rsid w:val="004355A3"/>
    <w:rsid w:val="004426C5"/>
    <w:rsid w:val="004450D1"/>
    <w:rsid w:val="00447924"/>
    <w:rsid w:val="00447A73"/>
    <w:rsid w:val="004513E0"/>
    <w:rsid w:val="00472C74"/>
    <w:rsid w:val="00481F78"/>
    <w:rsid w:val="0048374E"/>
    <w:rsid w:val="004839E4"/>
    <w:rsid w:val="00484449"/>
    <w:rsid w:val="00484F98"/>
    <w:rsid w:val="004A2280"/>
    <w:rsid w:val="004A29EF"/>
    <w:rsid w:val="004A3614"/>
    <w:rsid w:val="004A3D10"/>
    <w:rsid w:val="004A5A32"/>
    <w:rsid w:val="004B1669"/>
    <w:rsid w:val="004B2264"/>
    <w:rsid w:val="004C2110"/>
    <w:rsid w:val="004C466C"/>
    <w:rsid w:val="004C6CD1"/>
    <w:rsid w:val="004D082A"/>
    <w:rsid w:val="004D0BA7"/>
    <w:rsid w:val="004D2EED"/>
    <w:rsid w:val="004D6EE0"/>
    <w:rsid w:val="004E1494"/>
    <w:rsid w:val="005008BC"/>
    <w:rsid w:val="00505783"/>
    <w:rsid w:val="00513DA5"/>
    <w:rsid w:val="0051578B"/>
    <w:rsid w:val="005215B1"/>
    <w:rsid w:val="00523B1C"/>
    <w:rsid w:val="005247C4"/>
    <w:rsid w:val="00525D3E"/>
    <w:rsid w:val="00530548"/>
    <w:rsid w:val="005308AC"/>
    <w:rsid w:val="00533A3E"/>
    <w:rsid w:val="00541513"/>
    <w:rsid w:val="00546D7B"/>
    <w:rsid w:val="00553088"/>
    <w:rsid w:val="005566DA"/>
    <w:rsid w:val="00562225"/>
    <w:rsid w:val="00562E42"/>
    <w:rsid w:val="005652A8"/>
    <w:rsid w:val="00565473"/>
    <w:rsid w:val="00570CDE"/>
    <w:rsid w:val="0057104C"/>
    <w:rsid w:val="005724A2"/>
    <w:rsid w:val="00575F8C"/>
    <w:rsid w:val="00576D20"/>
    <w:rsid w:val="0058286E"/>
    <w:rsid w:val="00583F3F"/>
    <w:rsid w:val="00584374"/>
    <w:rsid w:val="00585688"/>
    <w:rsid w:val="00586535"/>
    <w:rsid w:val="00587435"/>
    <w:rsid w:val="0059770B"/>
    <w:rsid w:val="005A2DDE"/>
    <w:rsid w:val="005A3CAE"/>
    <w:rsid w:val="005A7EBA"/>
    <w:rsid w:val="005B4B5D"/>
    <w:rsid w:val="005C1313"/>
    <w:rsid w:val="005D6CE8"/>
    <w:rsid w:val="005E25F9"/>
    <w:rsid w:val="005E4EB9"/>
    <w:rsid w:val="005E678C"/>
    <w:rsid w:val="005F0438"/>
    <w:rsid w:val="005F136E"/>
    <w:rsid w:val="005F2516"/>
    <w:rsid w:val="005F2A74"/>
    <w:rsid w:val="005F36F0"/>
    <w:rsid w:val="005F6D89"/>
    <w:rsid w:val="0060467C"/>
    <w:rsid w:val="006049EB"/>
    <w:rsid w:val="00604E0F"/>
    <w:rsid w:val="00605275"/>
    <w:rsid w:val="006206B1"/>
    <w:rsid w:val="00621AF9"/>
    <w:rsid w:val="00622A1F"/>
    <w:rsid w:val="0062404F"/>
    <w:rsid w:val="006273F0"/>
    <w:rsid w:val="00627F86"/>
    <w:rsid w:val="00630768"/>
    <w:rsid w:val="00632333"/>
    <w:rsid w:val="00634169"/>
    <w:rsid w:val="00636C24"/>
    <w:rsid w:val="00641C0C"/>
    <w:rsid w:val="00643516"/>
    <w:rsid w:val="00644DDA"/>
    <w:rsid w:val="00647DF0"/>
    <w:rsid w:val="00650812"/>
    <w:rsid w:val="00650D68"/>
    <w:rsid w:val="00665E16"/>
    <w:rsid w:val="0067603F"/>
    <w:rsid w:val="00676413"/>
    <w:rsid w:val="00683DA2"/>
    <w:rsid w:val="006845CE"/>
    <w:rsid w:val="00685277"/>
    <w:rsid w:val="00687F6C"/>
    <w:rsid w:val="00687FE1"/>
    <w:rsid w:val="00692B30"/>
    <w:rsid w:val="00693F44"/>
    <w:rsid w:val="006A1887"/>
    <w:rsid w:val="006A1AA5"/>
    <w:rsid w:val="006A60BC"/>
    <w:rsid w:val="006A7D8A"/>
    <w:rsid w:val="006B0A7B"/>
    <w:rsid w:val="006B0B51"/>
    <w:rsid w:val="006B751B"/>
    <w:rsid w:val="006C7D64"/>
    <w:rsid w:val="006D2840"/>
    <w:rsid w:val="006E0C8C"/>
    <w:rsid w:val="006E74EE"/>
    <w:rsid w:val="006F401E"/>
    <w:rsid w:val="0070389B"/>
    <w:rsid w:val="00711CF4"/>
    <w:rsid w:val="00713472"/>
    <w:rsid w:val="00713D12"/>
    <w:rsid w:val="00714A49"/>
    <w:rsid w:val="007208FA"/>
    <w:rsid w:val="00720E0F"/>
    <w:rsid w:val="00726E55"/>
    <w:rsid w:val="007320E7"/>
    <w:rsid w:val="007349DE"/>
    <w:rsid w:val="00744F21"/>
    <w:rsid w:val="00753640"/>
    <w:rsid w:val="00754CBC"/>
    <w:rsid w:val="00754DAF"/>
    <w:rsid w:val="007620C5"/>
    <w:rsid w:val="007666BB"/>
    <w:rsid w:val="007709AF"/>
    <w:rsid w:val="00775563"/>
    <w:rsid w:val="007777F4"/>
    <w:rsid w:val="00777C81"/>
    <w:rsid w:val="00784D31"/>
    <w:rsid w:val="00787D51"/>
    <w:rsid w:val="00793ADE"/>
    <w:rsid w:val="00795001"/>
    <w:rsid w:val="0079702F"/>
    <w:rsid w:val="0079751C"/>
    <w:rsid w:val="007A17F1"/>
    <w:rsid w:val="007A28AE"/>
    <w:rsid w:val="007B5360"/>
    <w:rsid w:val="007B6E8B"/>
    <w:rsid w:val="007C0F6E"/>
    <w:rsid w:val="007C1662"/>
    <w:rsid w:val="007C7E67"/>
    <w:rsid w:val="007D2350"/>
    <w:rsid w:val="007D28B2"/>
    <w:rsid w:val="007D4E61"/>
    <w:rsid w:val="007E0C98"/>
    <w:rsid w:val="007E637E"/>
    <w:rsid w:val="007E7C90"/>
    <w:rsid w:val="007F0D6D"/>
    <w:rsid w:val="007F355D"/>
    <w:rsid w:val="0080015C"/>
    <w:rsid w:val="00803BB0"/>
    <w:rsid w:val="00804E0C"/>
    <w:rsid w:val="00814744"/>
    <w:rsid w:val="00815D27"/>
    <w:rsid w:val="008326B8"/>
    <w:rsid w:val="00833570"/>
    <w:rsid w:val="008347C7"/>
    <w:rsid w:val="00834D50"/>
    <w:rsid w:val="008409F7"/>
    <w:rsid w:val="008418A2"/>
    <w:rsid w:val="00841D38"/>
    <w:rsid w:val="0084281B"/>
    <w:rsid w:val="00843AAD"/>
    <w:rsid w:val="008516DF"/>
    <w:rsid w:val="0085184A"/>
    <w:rsid w:val="00851E0F"/>
    <w:rsid w:val="00852A4F"/>
    <w:rsid w:val="008571C3"/>
    <w:rsid w:val="00863C26"/>
    <w:rsid w:val="00874886"/>
    <w:rsid w:val="008753F2"/>
    <w:rsid w:val="00875483"/>
    <w:rsid w:val="0087572E"/>
    <w:rsid w:val="00883217"/>
    <w:rsid w:val="00884983"/>
    <w:rsid w:val="008877CE"/>
    <w:rsid w:val="00887C16"/>
    <w:rsid w:val="00890042"/>
    <w:rsid w:val="0089048B"/>
    <w:rsid w:val="00894B0B"/>
    <w:rsid w:val="00894C80"/>
    <w:rsid w:val="00894CD7"/>
    <w:rsid w:val="00896A1F"/>
    <w:rsid w:val="008B084E"/>
    <w:rsid w:val="008C2951"/>
    <w:rsid w:val="008C3D1F"/>
    <w:rsid w:val="008D05C6"/>
    <w:rsid w:val="008D2254"/>
    <w:rsid w:val="008D3270"/>
    <w:rsid w:val="008D5BA1"/>
    <w:rsid w:val="008E0B85"/>
    <w:rsid w:val="008E0D89"/>
    <w:rsid w:val="008E13C3"/>
    <w:rsid w:val="008E18F3"/>
    <w:rsid w:val="008E1D54"/>
    <w:rsid w:val="008E7DFF"/>
    <w:rsid w:val="008F02D5"/>
    <w:rsid w:val="008F13CF"/>
    <w:rsid w:val="008F3C05"/>
    <w:rsid w:val="008F5232"/>
    <w:rsid w:val="008F59F3"/>
    <w:rsid w:val="008F5CDC"/>
    <w:rsid w:val="008F5EF8"/>
    <w:rsid w:val="009063A6"/>
    <w:rsid w:val="00907019"/>
    <w:rsid w:val="0091064E"/>
    <w:rsid w:val="009141B9"/>
    <w:rsid w:val="009212C9"/>
    <w:rsid w:val="00921B59"/>
    <w:rsid w:val="00925A51"/>
    <w:rsid w:val="00927EAB"/>
    <w:rsid w:val="00931004"/>
    <w:rsid w:val="009315AD"/>
    <w:rsid w:val="00931A4A"/>
    <w:rsid w:val="00932774"/>
    <w:rsid w:val="00934A57"/>
    <w:rsid w:val="00940D3D"/>
    <w:rsid w:val="00942572"/>
    <w:rsid w:val="00942739"/>
    <w:rsid w:val="00945DE1"/>
    <w:rsid w:val="00945EE0"/>
    <w:rsid w:val="0094787E"/>
    <w:rsid w:val="00947913"/>
    <w:rsid w:val="00950FDC"/>
    <w:rsid w:val="009526B3"/>
    <w:rsid w:val="00954299"/>
    <w:rsid w:val="00973757"/>
    <w:rsid w:val="00974C34"/>
    <w:rsid w:val="009773E1"/>
    <w:rsid w:val="00984C8F"/>
    <w:rsid w:val="00987994"/>
    <w:rsid w:val="009910FA"/>
    <w:rsid w:val="0099419E"/>
    <w:rsid w:val="00997764"/>
    <w:rsid w:val="009A1282"/>
    <w:rsid w:val="009A1B51"/>
    <w:rsid w:val="009A521F"/>
    <w:rsid w:val="009B287D"/>
    <w:rsid w:val="009B53B5"/>
    <w:rsid w:val="009C0FA7"/>
    <w:rsid w:val="009C39AC"/>
    <w:rsid w:val="009C5438"/>
    <w:rsid w:val="009D0A93"/>
    <w:rsid w:val="009D27F9"/>
    <w:rsid w:val="009D59CF"/>
    <w:rsid w:val="00A0527A"/>
    <w:rsid w:val="00A07500"/>
    <w:rsid w:val="00A125AD"/>
    <w:rsid w:val="00A154F4"/>
    <w:rsid w:val="00A15571"/>
    <w:rsid w:val="00A16D63"/>
    <w:rsid w:val="00A17E8A"/>
    <w:rsid w:val="00A20A7B"/>
    <w:rsid w:val="00A23B6B"/>
    <w:rsid w:val="00A23DA2"/>
    <w:rsid w:val="00A37B8C"/>
    <w:rsid w:val="00A43381"/>
    <w:rsid w:val="00A46F42"/>
    <w:rsid w:val="00A6318A"/>
    <w:rsid w:val="00A640BB"/>
    <w:rsid w:val="00A664FA"/>
    <w:rsid w:val="00A67348"/>
    <w:rsid w:val="00A7028A"/>
    <w:rsid w:val="00A71350"/>
    <w:rsid w:val="00A722EA"/>
    <w:rsid w:val="00A74AAD"/>
    <w:rsid w:val="00A755D0"/>
    <w:rsid w:val="00A76B67"/>
    <w:rsid w:val="00A76F88"/>
    <w:rsid w:val="00A7705E"/>
    <w:rsid w:val="00A82B61"/>
    <w:rsid w:val="00A84218"/>
    <w:rsid w:val="00A86D35"/>
    <w:rsid w:val="00A91034"/>
    <w:rsid w:val="00A94D67"/>
    <w:rsid w:val="00AA05C5"/>
    <w:rsid w:val="00AA5436"/>
    <w:rsid w:val="00AA6168"/>
    <w:rsid w:val="00AA6398"/>
    <w:rsid w:val="00AB0EE1"/>
    <w:rsid w:val="00AB17CA"/>
    <w:rsid w:val="00AC260D"/>
    <w:rsid w:val="00AC36BA"/>
    <w:rsid w:val="00AC436F"/>
    <w:rsid w:val="00AD386F"/>
    <w:rsid w:val="00AD3A57"/>
    <w:rsid w:val="00AD41A9"/>
    <w:rsid w:val="00AD5D9E"/>
    <w:rsid w:val="00AE3C6F"/>
    <w:rsid w:val="00AE68DE"/>
    <w:rsid w:val="00AF2521"/>
    <w:rsid w:val="00AF4D55"/>
    <w:rsid w:val="00B03218"/>
    <w:rsid w:val="00B04702"/>
    <w:rsid w:val="00B05DBA"/>
    <w:rsid w:val="00B20297"/>
    <w:rsid w:val="00B203F1"/>
    <w:rsid w:val="00B20432"/>
    <w:rsid w:val="00B23FDE"/>
    <w:rsid w:val="00B242B6"/>
    <w:rsid w:val="00B242C6"/>
    <w:rsid w:val="00B25FDB"/>
    <w:rsid w:val="00B27659"/>
    <w:rsid w:val="00B277A2"/>
    <w:rsid w:val="00B33C9A"/>
    <w:rsid w:val="00B35308"/>
    <w:rsid w:val="00B35E92"/>
    <w:rsid w:val="00B375E3"/>
    <w:rsid w:val="00B420DE"/>
    <w:rsid w:val="00B4480C"/>
    <w:rsid w:val="00B46FED"/>
    <w:rsid w:val="00B51116"/>
    <w:rsid w:val="00B56E8B"/>
    <w:rsid w:val="00B5781E"/>
    <w:rsid w:val="00B61BA3"/>
    <w:rsid w:val="00B62A98"/>
    <w:rsid w:val="00B65CEC"/>
    <w:rsid w:val="00B80403"/>
    <w:rsid w:val="00B8119B"/>
    <w:rsid w:val="00B83870"/>
    <w:rsid w:val="00B87CB0"/>
    <w:rsid w:val="00B90517"/>
    <w:rsid w:val="00B932B9"/>
    <w:rsid w:val="00B97FF7"/>
    <w:rsid w:val="00BA1A99"/>
    <w:rsid w:val="00BA36FC"/>
    <w:rsid w:val="00BB273C"/>
    <w:rsid w:val="00BB6148"/>
    <w:rsid w:val="00BB695E"/>
    <w:rsid w:val="00BC0279"/>
    <w:rsid w:val="00BC16CB"/>
    <w:rsid w:val="00BD395D"/>
    <w:rsid w:val="00BD4E80"/>
    <w:rsid w:val="00BE0378"/>
    <w:rsid w:val="00BE0814"/>
    <w:rsid w:val="00BE13F7"/>
    <w:rsid w:val="00BE42E5"/>
    <w:rsid w:val="00BE7EE4"/>
    <w:rsid w:val="00BF4DA9"/>
    <w:rsid w:val="00BF5E73"/>
    <w:rsid w:val="00BF739C"/>
    <w:rsid w:val="00C017F7"/>
    <w:rsid w:val="00C01F35"/>
    <w:rsid w:val="00C0315E"/>
    <w:rsid w:val="00C07D78"/>
    <w:rsid w:val="00C11B35"/>
    <w:rsid w:val="00C23109"/>
    <w:rsid w:val="00C2759F"/>
    <w:rsid w:val="00C30497"/>
    <w:rsid w:val="00C3367B"/>
    <w:rsid w:val="00C3678B"/>
    <w:rsid w:val="00C400E6"/>
    <w:rsid w:val="00C45E7A"/>
    <w:rsid w:val="00C47840"/>
    <w:rsid w:val="00C53083"/>
    <w:rsid w:val="00C548D3"/>
    <w:rsid w:val="00C54EE2"/>
    <w:rsid w:val="00C651F5"/>
    <w:rsid w:val="00C701F6"/>
    <w:rsid w:val="00C705B1"/>
    <w:rsid w:val="00C73340"/>
    <w:rsid w:val="00C75DDB"/>
    <w:rsid w:val="00C765C1"/>
    <w:rsid w:val="00C800D9"/>
    <w:rsid w:val="00C83DF2"/>
    <w:rsid w:val="00C83EDC"/>
    <w:rsid w:val="00C8522A"/>
    <w:rsid w:val="00C9017E"/>
    <w:rsid w:val="00C90D1D"/>
    <w:rsid w:val="00C934AD"/>
    <w:rsid w:val="00C940ED"/>
    <w:rsid w:val="00CA1B54"/>
    <w:rsid w:val="00CA4794"/>
    <w:rsid w:val="00CB00F8"/>
    <w:rsid w:val="00CB103D"/>
    <w:rsid w:val="00CB4B3B"/>
    <w:rsid w:val="00CB6E97"/>
    <w:rsid w:val="00CC1C0D"/>
    <w:rsid w:val="00CC338A"/>
    <w:rsid w:val="00CC5FE5"/>
    <w:rsid w:val="00CD0009"/>
    <w:rsid w:val="00CD291B"/>
    <w:rsid w:val="00CD2F1A"/>
    <w:rsid w:val="00CD4941"/>
    <w:rsid w:val="00CE0235"/>
    <w:rsid w:val="00CE6337"/>
    <w:rsid w:val="00CE7364"/>
    <w:rsid w:val="00CF1843"/>
    <w:rsid w:val="00CF40E7"/>
    <w:rsid w:val="00CF5562"/>
    <w:rsid w:val="00CF5C2C"/>
    <w:rsid w:val="00D0524A"/>
    <w:rsid w:val="00D16E35"/>
    <w:rsid w:val="00D235AE"/>
    <w:rsid w:val="00D2388F"/>
    <w:rsid w:val="00D26FFD"/>
    <w:rsid w:val="00D27CBD"/>
    <w:rsid w:val="00D27F95"/>
    <w:rsid w:val="00D30051"/>
    <w:rsid w:val="00D3773F"/>
    <w:rsid w:val="00D43FE8"/>
    <w:rsid w:val="00D44482"/>
    <w:rsid w:val="00D468A1"/>
    <w:rsid w:val="00D4717C"/>
    <w:rsid w:val="00D50429"/>
    <w:rsid w:val="00D51834"/>
    <w:rsid w:val="00D52E2D"/>
    <w:rsid w:val="00D55406"/>
    <w:rsid w:val="00D56E86"/>
    <w:rsid w:val="00D76688"/>
    <w:rsid w:val="00D8140F"/>
    <w:rsid w:val="00D82D97"/>
    <w:rsid w:val="00D83DB5"/>
    <w:rsid w:val="00D87309"/>
    <w:rsid w:val="00D9573A"/>
    <w:rsid w:val="00D95B67"/>
    <w:rsid w:val="00D96A71"/>
    <w:rsid w:val="00D96AD3"/>
    <w:rsid w:val="00DA283C"/>
    <w:rsid w:val="00DA5614"/>
    <w:rsid w:val="00DB02F1"/>
    <w:rsid w:val="00DB039F"/>
    <w:rsid w:val="00DB4B60"/>
    <w:rsid w:val="00DB5461"/>
    <w:rsid w:val="00DB6E7C"/>
    <w:rsid w:val="00DB712A"/>
    <w:rsid w:val="00DB758E"/>
    <w:rsid w:val="00DC583F"/>
    <w:rsid w:val="00DE1673"/>
    <w:rsid w:val="00DE6113"/>
    <w:rsid w:val="00DF38BE"/>
    <w:rsid w:val="00DF3971"/>
    <w:rsid w:val="00DF5115"/>
    <w:rsid w:val="00DF6CF3"/>
    <w:rsid w:val="00E00429"/>
    <w:rsid w:val="00E00991"/>
    <w:rsid w:val="00E03983"/>
    <w:rsid w:val="00E04517"/>
    <w:rsid w:val="00E04812"/>
    <w:rsid w:val="00E05398"/>
    <w:rsid w:val="00E070A1"/>
    <w:rsid w:val="00E1418F"/>
    <w:rsid w:val="00E14AFB"/>
    <w:rsid w:val="00E16577"/>
    <w:rsid w:val="00E17186"/>
    <w:rsid w:val="00E173A1"/>
    <w:rsid w:val="00E24381"/>
    <w:rsid w:val="00E2495A"/>
    <w:rsid w:val="00E3260E"/>
    <w:rsid w:val="00E3262D"/>
    <w:rsid w:val="00E36CF6"/>
    <w:rsid w:val="00E377D2"/>
    <w:rsid w:val="00E43CC2"/>
    <w:rsid w:val="00E467ED"/>
    <w:rsid w:val="00E544CE"/>
    <w:rsid w:val="00E54929"/>
    <w:rsid w:val="00E55054"/>
    <w:rsid w:val="00E5545E"/>
    <w:rsid w:val="00E6215C"/>
    <w:rsid w:val="00E630DC"/>
    <w:rsid w:val="00E72F59"/>
    <w:rsid w:val="00E82C92"/>
    <w:rsid w:val="00E86995"/>
    <w:rsid w:val="00E92776"/>
    <w:rsid w:val="00E96A4A"/>
    <w:rsid w:val="00EA0E4A"/>
    <w:rsid w:val="00EA11BA"/>
    <w:rsid w:val="00EA43BC"/>
    <w:rsid w:val="00EA6C88"/>
    <w:rsid w:val="00EA70E1"/>
    <w:rsid w:val="00EA72A2"/>
    <w:rsid w:val="00EA7C58"/>
    <w:rsid w:val="00EB391E"/>
    <w:rsid w:val="00EB3F46"/>
    <w:rsid w:val="00EC3091"/>
    <w:rsid w:val="00EC53E5"/>
    <w:rsid w:val="00EC6DD9"/>
    <w:rsid w:val="00EC79E5"/>
    <w:rsid w:val="00ED4AC0"/>
    <w:rsid w:val="00ED4B64"/>
    <w:rsid w:val="00ED7BE5"/>
    <w:rsid w:val="00EE092B"/>
    <w:rsid w:val="00EE2941"/>
    <w:rsid w:val="00EE4916"/>
    <w:rsid w:val="00EE6A55"/>
    <w:rsid w:val="00EE6B1A"/>
    <w:rsid w:val="00EE7B13"/>
    <w:rsid w:val="00EF12BC"/>
    <w:rsid w:val="00EF2614"/>
    <w:rsid w:val="00EF7813"/>
    <w:rsid w:val="00F0426F"/>
    <w:rsid w:val="00F048BC"/>
    <w:rsid w:val="00F1076C"/>
    <w:rsid w:val="00F131D7"/>
    <w:rsid w:val="00F1365B"/>
    <w:rsid w:val="00F155A9"/>
    <w:rsid w:val="00F227BB"/>
    <w:rsid w:val="00F22C5A"/>
    <w:rsid w:val="00F24FC7"/>
    <w:rsid w:val="00F32896"/>
    <w:rsid w:val="00F35C47"/>
    <w:rsid w:val="00F36C34"/>
    <w:rsid w:val="00F37D53"/>
    <w:rsid w:val="00F40F08"/>
    <w:rsid w:val="00F4116C"/>
    <w:rsid w:val="00F42CF6"/>
    <w:rsid w:val="00F450EF"/>
    <w:rsid w:val="00F461E9"/>
    <w:rsid w:val="00F52097"/>
    <w:rsid w:val="00F53531"/>
    <w:rsid w:val="00F557A3"/>
    <w:rsid w:val="00F61221"/>
    <w:rsid w:val="00F6424C"/>
    <w:rsid w:val="00F65520"/>
    <w:rsid w:val="00F65C05"/>
    <w:rsid w:val="00F671C4"/>
    <w:rsid w:val="00F748D5"/>
    <w:rsid w:val="00F77183"/>
    <w:rsid w:val="00F7745C"/>
    <w:rsid w:val="00F920A8"/>
    <w:rsid w:val="00FA34A6"/>
    <w:rsid w:val="00FB58B7"/>
    <w:rsid w:val="00FC0138"/>
    <w:rsid w:val="00FC2D85"/>
    <w:rsid w:val="00FC4E9D"/>
    <w:rsid w:val="00FD0FC7"/>
    <w:rsid w:val="00FD2C5A"/>
    <w:rsid w:val="00FD5E9E"/>
    <w:rsid w:val="00FD634E"/>
    <w:rsid w:val="00FE091A"/>
    <w:rsid w:val="00FE4F3D"/>
    <w:rsid w:val="00FE52EB"/>
    <w:rsid w:val="00FE56A9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29"/>
    <w:rPr>
      <w:sz w:val="24"/>
      <w:szCs w:val="24"/>
    </w:rPr>
  </w:style>
  <w:style w:type="paragraph" w:styleId="1">
    <w:name w:val="heading 1"/>
    <w:basedOn w:val="a"/>
    <w:next w:val="a"/>
    <w:qFormat/>
    <w:rsid w:val="00A755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5492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E5492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54929"/>
  </w:style>
  <w:style w:type="paragraph" w:styleId="a3">
    <w:name w:val="Balloon Text"/>
    <w:basedOn w:val="a"/>
    <w:semiHidden/>
    <w:rsid w:val="00D471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2F1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0539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1D08CA"/>
    <w:pPr>
      <w:ind w:left="720"/>
      <w:contextualSpacing/>
    </w:pPr>
  </w:style>
  <w:style w:type="paragraph" w:customStyle="1" w:styleId="ConsPlusTitle">
    <w:name w:val="ConsPlusTitle"/>
    <w:rsid w:val="00AF4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.FORMATTEXT"/>
    <w:rsid w:val="00890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740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08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40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0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84BC-76EE-46D8-A38F-06C7B89B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</vt:lpstr>
    </vt:vector>
  </TitlesOfParts>
  <Company>Administration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Остроухова</dc:creator>
  <cp:keywords/>
  <cp:lastModifiedBy>iva</cp:lastModifiedBy>
  <cp:revision>29</cp:revision>
  <cp:lastPrinted>2021-05-21T05:05:00Z</cp:lastPrinted>
  <dcterms:created xsi:type="dcterms:W3CDTF">2021-02-02T07:21:00Z</dcterms:created>
  <dcterms:modified xsi:type="dcterms:W3CDTF">2025-03-24T05:11:00Z</dcterms:modified>
</cp:coreProperties>
</file>